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E7B" w:rsidRDefault="00D82E7B" w:rsidP="00D82E7B">
      <w:pPr>
        <w:jc w:val="center"/>
        <w:rPr>
          <w:rFonts w:ascii="Century Gothic" w:hAnsi="Century Gothic"/>
          <w:b/>
          <w:sz w:val="32"/>
          <w:szCs w:val="32"/>
        </w:rPr>
      </w:pPr>
      <w:r w:rsidRPr="00B600D9">
        <w:rPr>
          <w:rFonts w:ascii="Century Gothic" w:hAnsi="Century Gothic"/>
          <w:noProof/>
          <w:lang w:eastAsia="en-GB"/>
        </w:rPr>
        <w:drawing>
          <wp:anchor distT="0" distB="0" distL="114300" distR="114300" simplePos="0" relativeHeight="251659264" behindDoc="0" locked="0" layoutInCell="1" allowOverlap="1" wp14:anchorId="383F3BF4" wp14:editId="6CEBDAC0">
            <wp:simplePos x="0" y="0"/>
            <wp:positionH relativeFrom="margin">
              <wp:posOffset>1419225</wp:posOffset>
            </wp:positionH>
            <wp:positionV relativeFrom="paragraph">
              <wp:posOffset>371475</wp:posOffset>
            </wp:positionV>
            <wp:extent cx="3093085" cy="12642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93085" cy="1264285"/>
                    </a:xfrm>
                    <a:prstGeom prst="rect">
                      <a:avLst/>
                    </a:prstGeom>
                    <a:noFill/>
                    <a:ln>
                      <a:noFill/>
                    </a:ln>
                  </pic:spPr>
                </pic:pic>
              </a:graphicData>
            </a:graphic>
          </wp:anchor>
        </w:drawing>
      </w:r>
    </w:p>
    <w:p w:rsidR="00D82E7B" w:rsidRDefault="00D82E7B" w:rsidP="00D82E7B">
      <w:pPr>
        <w:jc w:val="center"/>
        <w:rPr>
          <w:rFonts w:ascii="Century Gothic" w:hAnsi="Century Gothic"/>
          <w:b/>
          <w:sz w:val="32"/>
          <w:szCs w:val="32"/>
        </w:rPr>
      </w:pPr>
    </w:p>
    <w:p w:rsidR="00D82E7B" w:rsidRDefault="00D82E7B" w:rsidP="00D82E7B">
      <w:pPr>
        <w:jc w:val="center"/>
        <w:rPr>
          <w:rFonts w:ascii="Century Gothic" w:hAnsi="Century Gothic"/>
          <w:b/>
          <w:sz w:val="32"/>
          <w:szCs w:val="32"/>
        </w:rPr>
      </w:pPr>
    </w:p>
    <w:p w:rsidR="00D82E7B" w:rsidRDefault="00D82E7B" w:rsidP="00D82E7B">
      <w:pPr>
        <w:jc w:val="center"/>
        <w:rPr>
          <w:rFonts w:ascii="Century Gothic" w:hAnsi="Century Gothic"/>
          <w:b/>
          <w:sz w:val="32"/>
          <w:szCs w:val="32"/>
        </w:rPr>
      </w:pPr>
    </w:p>
    <w:p w:rsidR="00D82E7B" w:rsidRDefault="00D82E7B" w:rsidP="00D82E7B">
      <w:pPr>
        <w:jc w:val="center"/>
        <w:rPr>
          <w:rFonts w:ascii="Century Gothic" w:hAnsi="Century Gothic"/>
          <w:b/>
          <w:sz w:val="32"/>
          <w:szCs w:val="32"/>
        </w:rPr>
      </w:pPr>
    </w:p>
    <w:p w:rsidR="00D82E7B" w:rsidRPr="00B600D9" w:rsidRDefault="00D82E7B" w:rsidP="00D82E7B">
      <w:pPr>
        <w:jc w:val="center"/>
        <w:rPr>
          <w:rFonts w:ascii="Century Gothic" w:hAnsi="Century Gothic"/>
          <w:b/>
          <w:sz w:val="32"/>
          <w:szCs w:val="32"/>
        </w:rPr>
      </w:pPr>
      <w:r>
        <w:rPr>
          <w:rFonts w:ascii="Century Gothic" w:hAnsi="Century Gothic"/>
          <w:b/>
          <w:sz w:val="32"/>
          <w:szCs w:val="32"/>
        </w:rPr>
        <w:t>‘</w:t>
      </w:r>
      <w:r w:rsidRPr="00B600D9">
        <w:rPr>
          <w:rFonts w:ascii="Century Gothic" w:hAnsi="Century Gothic"/>
          <w:b/>
          <w:sz w:val="32"/>
          <w:szCs w:val="32"/>
        </w:rPr>
        <w:t>No Good Options: one year on’</w:t>
      </w:r>
    </w:p>
    <w:p w:rsidR="00D82E7B" w:rsidRPr="009418AB" w:rsidRDefault="00D82E7B" w:rsidP="00D82E7B">
      <w:pPr>
        <w:ind w:left="-709" w:right="-472"/>
        <w:jc w:val="center"/>
        <w:rPr>
          <w:rFonts w:ascii="Century Gothic" w:hAnsi="Century Gothic"/>
          <w:b/>
          <w:sz w:val="28"/>
          <w:szCs w:val="30"/>
        </w:rPr>
      </w:pPr>
      <w:r w:rsidRPr="00B600D9">
        <w:rPr>
          <w:rFonts w:ascii="Century Gothic" w:hAnsi="Century Gothic"/>
          <w:b/>
          <w:sz w:val="32"/>
          <w:szCs w:val="32"/>
        </w:rPr>
        <w:t xml:space="preserve">Minutes of Evidence session </w:t>
      </w:r>
      <w:r>
        <w:rPr>
          <w:rFonts w:ascii="Century Gothic" w:hAnsi="Century Gothic"/>
          <w:b/>
          <w:sz w:val="32"/>
          <w:szCs w:val="32"/>
        </w:rPr>
        <w:t>2:</w:t>
      </w:r>
      <w:r w:rsidRPr="00D82E7B">
        <w:rPr>
          <w:rFonts w:ascii="Century Gothic" w:hAnsi="Century Gothic"/>
          <w:b/>
          <w:sz w:val="28"/>
          <w:szCs w:val="30"/>
        </w:rPr>
        <w:t xml:space="preserve"> </w:t>
      </w:r>
      <w:r w:rsidRPr="009418AB">
        <w:rPr>
          <w:rFonts w:ascii="Century Gothic" w:hAnsi="Century Gothic"/>
          <w:b/>
          <w:sz w:val="28"/>
          <w:szCs w:val="30"/>
        </w:rPr>
        <w:t xml:space="preserve">Social care thresholds </w:t>
      </w:r>
      <w:r>
        <w:rPr>
          <w:rFonts w:ascii="Century Gothic" w:hAnsi="Century Gothic"/>
          <w:b/>
          <w:sz w:val="28"/>
          <w:szCs w:val="30"/>
        </w:rPr>
        <w:t xml:space="preserve">– </w:t>
      </w:r>
      <w:r w:rsidRPr="009418AB">
        <w:rPr>
          <w:rFonts w:ascii="Century Gothic" w:hAnsi="Century Gothic"/>
          <w:b/>
          <w:sz w:val="28"/>
          <w:szCs w:val="30"/>
        </w:rPr>
        <w:t>perspectives of academics and sector representatives</w:t>
      </w:r>
    </w:p>
    <w:p w:rsidR="00D82E7B" w:rsidRPr="009418AB" w:rsidRDefault="00D82E7B" w:rsidP="00D82E7B">
      <w:pPr>
        <w:jc w:val="center"/>
        <w:rPr>
          <w:rFonts w:ascii="Century Gothic" w:hAnsi="Century Gothic"/>
          <w:b/>
          <w:bCs/>
          <w:szCs w:val="28"/>
        </w:rPr>
      </w:pPr>
      <w:r w:rsidRPr="009418AB">
        <w:rPr>
          <w:rFonts w:ascii="Century Gothic" w:hAnsi="Century Gothic"/>
          <w:b/>
          <w:bCs/>
          <w:szCs w:val="28"/>
        </w:rPr>
        <w:t>Wednesday 7</w:t>
      </w:r>
      <w:r w:rsidRPr="009418AB">
        <w:rPr>
          <w:rFonts w:ascii="Century Gothic" w:hAnsi="Century Gothic"/>
          <w:b/>
          <w:bCs/>
          <w:szCs w:val="28"/>
          <w:vertAlign w:val="superscript"/>
        </w:rPr>
        <w:t>th</w:t>
      </w:r>
      <w:r w:rsidRPr="009418AB">
        <w:rPr>
          <w:rFonts w:ascii="Century Gothic" w:hAnsi="Century Gothic"/>
          <w:b/>
          <w:bCs/>
          <w:szCs w:val="28"/>
        </w:rPr>
        <w:t xml:space="preserve"> February, </w:t>
      </w:r>
      <w:r>
        <w:rPr>
          <w:rFonts w:ascii="Century Gothic" w:hAnsi="Century Gothic"/>
          <w:b/>
          <w:bCs/>
          <w:szCs w:val="28"/>
        </w:rPr>
        <w:t>5.30 – 7pm</w:t>
      </w:r>
    </w:p>
    <w:p w:rsidR="00D82E7B" w:rsidRPr="00BA736C" w:rsidRDefault="00D82E7B" w:rsidP="00D82E7B">
      <w:pPr>
        <w:ind w:left="-709" w:right="-472"/>
        <w:jc w:val="center"/>
        <w:rPr>
          <w:rFonts w:ascii="Century Gothic" w:hAnsi="Century Gothic"/>
        </w:rPr>
      </w:pPr>
      <w:r w:rsidRPr="00BA736C">
        <w:rPr>
          <w:rFonts w:ascii="Century Gothic" w:hAnsi="Century Gothic"/>
          <w:b/>
          <w:bCs/>
        </w:rPr>
        <w:t>Committee Room 13, Palace of Westminster</w:t>
      </w:r>
    </w:p>
    <w:p w:rsidR="00D82E7B" w:rsidRPr="00BA736C" w:rsidRDefault="00D82E7B" w:rsidP="00D82E7B">
      <w:pPr>
        <w:pStyle w:val="Default"/>
        <w:jc w:val="both"/>
        <w:rPr>
          <w:rFonts w:ascii="Century Gothic" w:hAnsi="Century Gothic"/>
          <w:color w:val="auto"/>
          <w:sz w:val="22"/>
          <w:szCs w:val="22"/>
        </w:rPr>
      </w:pPr>
      <w:r w:rsidRPr="00BA736C">
        <w:rPr>
          <w:rFonts w:ascii="Century Gothic" w:hAnsi="Century Gothic"/>
          <w:b/>
          <w:bCs/>
          <w:color w:val="auto"/>
          <w:sz w:val="22"/>
          <w:szCs w:val="22"/>
        </w:rPr>
        <w:t>Chair</w:t>
      </w:r>
      <w:r w:rsidRPr="00BA736C">
        <w:rPr>
          <w:rFonts w:ascii="Century Gothic" w:hAnsi="Century Gothic"/>
          <w:color w:val="auto"/>
          <w:sz w:val="22"/>
          <w:szCs w:val="22"/>
        </w:rPr>
        <w:t xml:space="preserve">: Tim Loughton MP </w:t>
      </w:r>
    </w:p>
    <w:p w:rsidR="00D82E7B" w:rsidRPr="00BA736C" w:rsidRDefault="00D82E7B" w:rsidP="00D82E7B">
      <w:pPr>
        <w:pStyle w:val="Default"/>
        <w:jc w:val="both"/>
        <w:rPr>
          <w:rFonts w:ascii="Century Gothic" w:hAnsi="Century Gothic"/>
          <w:color w:val="auto"/>
          <w:sz w:val="22"/>
          <w:szCs w:val="22"/>
        </w:rPr>
      </w:pPr>
      <w:r w:rsidRPr="00BA736C">
        <w:rPr>
          <w:rFonts w:ascii="Century Gothic" w:hAnsi="Century Gothic"/>
          <w:b/>
          <w:color w:val="auto"/>
          <w:sz w:val="22"/>
          <w:szCs w:val="22"/>
        </w:rPr>
        <w:t xml:space="preserve">Co-Chair: </w:t>
      </w:r>
      <w:r w:rsidRPr="00BA736C">
        <w:rPr>
          <w:rFonts w:ascii="Century Gothic" w:hAnsi="Century Gothic"/>
          <w:color w:val="auto"/>
          <w:sz w:val="22"/>
          <w:szCs w:val="22"/>
        </w:rPr>
        <w:t xml:space="preserve">Baroness Howarth of </w:t>
      </w:r>
      <w:proofErr w:type="spellStart"/>
      <w:r w:rsidRPr="00BA736C">
        <w:rPr>
          <w:rFonts w:ascii="Century Gothic" w:hAnsi="Century Gothic"/>
          <w:color w:val="auto"/>
          <w:sz w:val="22"/>
          <w:szCs w:val="22"/>
        </w:rPr>
        <w:t>Breckland</w:t>
      </w:r>
      <w:proofErr w:type="spellEnd"/>
    </w:p>
    <w:p w:rsidR="00D82E7B" w:rsidRPr="00BA736C" w:rsidRDefault="00D82E7B" w:rsidP="00D82E7B">
      <w:pPr>
        <w:pStyle w:val="Default"/>
        <w:jc w:val="both"/>
        <w:rPr>
          <w:rFonts w:ascii="Century Gothic" w:hAnsi="Century Gothic"/>
          <w:color w:val="auto"/>
          <w:sz w:val="22"/>
          <w:szCs w:val="22"/>
        </w:rPr>
      </w:pPr>
      <w:r w:rsidRPr="00BA736C">
        <w:rPr>
          <w:rFonts w:ascii="Century Gothic" w:hAnsi="Century Gothic"/>
          <w:b/>
          <w:bCs/>
          <w:color w:val="auto"/>
          <w:sz w:val="22"/>
          <w:szCs w:val="22"/>
        </w:rPr>
        <w:t>Secretary</w:t>
      </w:r>
      <w:r w:rsidRPr="00BA736C">
        <w:rPr>
          <w:rFonts w:ascii="Century Gothic" w:hAnsi="Century Gothic"/>
          <w:color w:val="auto"/>
          <w:sz w:val="22"/>
          <w:szCs w:val="22"/>
        </w:rPr>
        <w:t xml:space="preserve">: Baroness Massey of </w:t>
      </w:r>
      <w:proofErr w:type="spellStart"/>
      <w:r w:rsidRPr="00BA736C">
        <w:rPr>
          <w:rFonts w:ascii="Century Gothic" w:hAnsi="Century Gothic"/>
          <w:color w:val="auto"/>
          <w:sz w:val="22"/>
          <w:szCs w:val="22"/>
        </w:rPr>
        <w:t>Darwen</w:t>
      </w:r>
      <w:proofErr w:type="spellEnd"/>
      <w:r w:rsidRPr="00BA736C">
        <w:rPr>
          <w:rFonts w:ascii="Century Gothic" w:hAnsi="Century Gothic"/>
          <w:color w:val="auto"/>
          <w:sz w:val="22"/>
          <w:szCs w:val="22"/>
        </w:rPr>
        <w:t xml:space="preserve"> </w:t>
      </w:r>
    </w:p>
    <w:p w:rsidR="00D82E7B" w:rsidRPr="00BA736C" w:rsidRDefault="00D82E7B" w:rsidP="00D82E7B">
      <w:pPr>
        <w:pStyle w:val="Default"/>
        <w:jc w:val="both"/>
        <w:rPr>
          <w:rFonts w:ascii="Century Gothic" w:hAnsi="Century Gothic"/>
          <w:color w:val="auto"/>
          <w:sz w:val="22"/>
          <w:szCs w:val="22"/>
        </w:rPr>
      </w:pPr>
      <w:r w:rsidRPr="00BA736C">
        <w:rPr>
          <w:rFonts w:ascii="Century Gothic" w:hAnsi="Century Gothic"/>
          <w:b/>
          <w:bCs/>
          <w:color w:val="auto"/>
          <w:sz w:val="22"/>
          <w:szCs w:val="22"/>
        </w:rPr>
        <w:t>Treasurer</w:t>
      </w:r>
      <w:r w:rsidRPr="00BA736C">
        <w:rPr>
          <w:rFonts w:ascii="Century Gothic" w:hAnsi="Century Gothic"/>
          <w:color w:val="auto"/>
          <w:sz w:val="22"/>
          <w:szCs w:val="22"/>
        </w:rPr>
        <w:t xml:space="preserve">: Earl of </w:t>
      </w:r>
      <w:proofErr w:type="spellStart"/>
      <w:r w:rsidRPr="00BA736C">
        <w:rPr>
          <w:rFonts w:ascii="Century Gothic" w:hAnsi="Century Gothic"/>
          <w:color w:val="auto"/>
          <w:sz w:val="22"/>
          <w:szCs w:val="22"/>
        </w:rPr>
        <w:t>Listowel</w:t>
      </w:r>
      <w:proofErr w:type="spellEnd"/>
      <w:r w:rsidRPr="00BA736C">
        <w:rPr>
          <w:rFonts w:ascii="Century Gothic" w:hAnsi="Century Gothic"/>
          <w:color w:val="auto"/>
          <w:sz w:val="22"/>
          <w:szCs w:val="22"/>
        </w:rPr>
        <w:t xml:space="preserve"> </w:t>
      </w:r>
    </w:p>
    <w:p w:rsidR="00D82E7B" w:rsidRPr="00BA736C" w:rsidRDefault="00D82E7B" w:rsidP="00D82E7B">
      <w:pPr>
        <w:pStyle w:val="Default"/>
        <w:jc w:val="both"/>
        <w:rPr>
          <w:rFonts w:ascii="Century Gothic" w:hAnsi="Century Gothic"/>
          <w:color w:val="auto"/>
          <w:sz w:val="22"/>
          <w:szCs w:val="22"/>
        </w:rPr>
      </w:pPr>
      <w:r w:rsidRPr="00BA736C">
        <w:rPr>
          <w:rFonts w:ascii="Century Gothic" w:hAnsi="Century Gothic"/>
          <w:b/>
          <w:bCs/>
          <w:color w:val="auto"/>
          <w:sz w:val="22"/>
          <w:szCs w:val="22"/>
        </w:rPr>
        <w:t>Vice-Chairs</w:t>
      </w:r>
      <w:r w:rsidRPr="00BA736C">
        <w:rPr>
          <w:rFonts w:ascii="Century Gothic" w:hAnsi="Century Gothic"/>
          <w:color w:val="auto"/>
          <w:sz w:val="22"/>
          <w:szCs w:val="22"/>
        </w:rPr>
        <w:t xml:space="preserve">: Baroness </w:t>
      </w:r>
      <w:proofErr w:type="spellStart"/>
      <w:r w:rsidRPr="00BA736C">
        <w:rPr>
          <w:rFonts w:ascii="Century Gothic" w:hAnsi="Century Gothic"/>
          <w:color w:val="auto"/>
          <w:sz w:val="22"/>
          <w:szCs w:val="22"/>
        </w:rPr>
        <w:t>Walmsley</w:t>
      </w:r>
      <w:proofErr w:type="spellEnd"/>
      <w:r w:rsidRPr="00BA736C">
        <w:rPr>
          <w:rFonts w:ascii="Century Gothic" w:hAnsi="Century Gothic"/>
          <w:color w:val="auto"/>
          <w:sz w:val="22"/>
          <w:szCs w:val="22"/>
        </w:rPr>
        <w:t>, Alex Burghart MP, Sarah Champion MP</w:t>
      </w:r>
    </w:p>
    <w:p w:rsidR="00D82E7B" w:rsidRPr="00BA736C" w:rsidRDefault="00D82E7B" w:rsidP="00D82E7B">
      <w:pPr>
        <w:jc w:val="both"/>
        <w:rPr>
          <w:rFonts w:ascii="Century Gothic" w:hAnsi="Century Gothic"/>
        </w:rPr>
      </w:pPr>
      <w:r w:rsidRPr="00BA736C">
        <w:rPr>
          <w:rFonts w:ascii="Century Gothic" w:hAnsi="Century Gothic"/>
          <w:b/>
          <w:bCs/>
        </w:rPr>
        <w:t>Clerk</w:t>
      </w:r>
      <w:r w:rsidRPr="00BA736C">
        <w:rPr>
          <w:rFonts w:ascii="Century Gothic" w:hAnsi="Century Gothic"/>
        </w:rPr>
        <w:t>: Robyn Ellison</w:t>
      </w:r>
    </w:p>
    <w:p w:rsidR="00D82E7B" w:rsidRPr="00BA736C" w:rsidRDefault="00D82E7B" w:rsidP="00D82E7B">
      <w:pPr>
        <w:pStyle w:val="Default"/>
        <w:jc w:val="both"/>
        <w:rPr>
          <w:rFonts w:ascii="Century Gothic" w:hAnsi="Century Gothic"/>
          <w:color w:val="auto"/>
          <w:sz w:val="22"/>
          <w:szCs w:val="22"/>
        </w:rPr>
      </w:pPr>
    </w:p>
    <w:p w:rsidR="00D82E7B" w:rsidRPr="00BA736C" w:rsidRDefault="00564088" w:rsidP="00564088">
      <w:pPr>
        <w:rPr>
          <w:rFonts w:ascii="Century Gothic" w:hAnsi="Century Gothic"/>
          <w:b/>
          <w:u w:val="single"/>
        </w:rPr>
      </w:pPr>
      <w:r w:rsidRPr="00BA736C">
        <w:rPr>
          <w:rFonts w:ascii="Century Gothic" w:hAnsi="Century Gothic"/>
          <w:b/>
          <w:u w:val="single"/>
        </w:rPr>
        <w:t>Welcome and introduction</w:t>
      </w:r>
    </w:p>
    <w:p w:rsidR="00564088" w:rsidRPr="00BA736C" w:rsidRDefault="00564088" w:rsidP="00564088">
      <w:pPr>
        <w:rPr>
          <w:rFonts w:ascii="Century Gothic" w:hAnsi="Century Gothic"/>
        </w:rPr>
      </w:pPr>
      <w:r w:rsidRPr="00BA736C">
        <w:rPr>
          <w:rFonts w:ascii="Century Gothic" w:hAnsi="Century Gothic"/>
        </w:rPr>
        <w:t>Tim Loughton MP as chair of the All-Party Parliamentary Group for Children (APPG) welcomed everyone to this second evidence session outlined the format. During today’s session, we will hear from two panels: the first panel is made up of leading academics researching children’s social care, and the second panel features senior representatives from the children’s social care sector. There will time for Q&amp;A following the presentations</w:t>
      </w:r>
    </w:p>
    <w:p w:rsidR="00256709" w:rsidRPr="00BA736C" w:rsidRDefault="00256709" w:rsidP="00256709">
      <w:pPr>
        <w:rPr>
          <w:rFonts w:ascii="Century Gothic" w:hAnsi="Century Gothic"/>
        </w:rPr>
      </w:pPr>
    </w:p>
    <w:p w:rsidR="00256709" w:rsidRPr="00BA736C" w:rsidRDefault="00256709" w:rsidP="00256709">
      <w:pPr>
        <w:rPr>
          <w:rFonts w:ascii="Century Gothic" w:hAnsi="Century Gothic"/>
          <w:b/>
          <w:u w:val="single"/>
        </w:rPr>
      </w:pPr>
      <w:r w:rsidRPr="00BA736C">
        <w:rPr>
          <w:rFonts w:ascii="Century Gothic" w:hAnsi="Century Gothic"/>
          <w:b/>
          <w:u w:val="single"/>
        </w:rPr>
        <w:t>Panel 1</w:t>
      </w:r>
      <w:r w:rsidR="00982B12" w:rsidRPr="00BA736C">
        <w:rPr>
          <w:rFonts w:ascii="Century Gothic" w:hAnsi="Century Gothic"/>
          <w:b/>
          <w:u w:val="single"/>
        </w:rPr>
        <w:t>: Presentation and perspectives from leading academics in the field of children’s social care</w:t>
      </w:r>
    </w:p>
    <w:p w:rsidR="00564088" w:rsidRPr="00BA736C" w:rsidRDefault="00564088" w:rsidP="00256709">
      <w:pPr>
        <w:rPr>
          <w:rFonts w:ascii="Century Gothic" w:hAnsi="Century Gothic"/>
        </w:rPr>
      </w:pPr>
      <w:r w:rsidRPr="00BA736C">
        <w:rPr>
          <w:rFonts w:ascii="Century Gothic" w:hAnsi="Century Gothic"/>
        </w:rPr>
        <w:t>The four academics introduced themselves:</w:t>
      </w:r>
    </w:p>
    <w:p w:rsidR="00564088" w:rsidRPr="00BA736C" w:rsidRDefault="00564088" w:rsidP="00564088">
      <w:pPr>
        <w:pStyle w:val="ListParagraph"/>
        <w:numPr>
          <w:ilvl w:val="0"/>
          <w:numId w:val="13"/>
        </w:numPr>
        <w:rPr>
          <w:rFonts w:ascii="Century Gothic" w:hAnsi="Century Gothic"/>
        </w:rPr>
      </w:pPr>
      <w:r w:rsidRPr="00BA736C">
        <w:rPr>
          <w:rFonts w:ascii="Century Gothic" w:hAnsi="Century Gothic"/>
        </w:rPr>
        <w:t>Paul Bywaters, Professor of Social Work at Huddersfield University and Emeritus Professor at Coventry</w:t>
      </w:r>
    </w:p>
    <w:p w:rsidR="00564088" w:rsidRPr="00BA736C" w:rsidRDefault="00564088" w:rsidP="00564088">
      <w:pPr>
        <w:pStyle w:val="ListParagraph"/>
        <w:numPr>
          <w:ilvl w:val="0"/>
          <w:numId w:val="13"/>
        </w:numPr>
        <w:rPr>
          <w:rFonts w:ascii="Century Gothic" w:hAnsi="Century Gothic"/>
        </w:rPr>
      </w:pPr>
      <w:r w:rsidRPr="00BA736C">
        <w:rPr>
          <w:rFonts w:ascii="Century Gothic" w:hAnsi="Century Gothic"/>
        </w:rPr>
        <w:t>Kate Morris, Professor of Social Work and Head of the Department of Sociological Studies at the University of Sheffield</w:t>
      </w:r>
    </w:p>
    <w:p w:rsidR="00564088" w:rsidRPr="00BA736C" w:rsidRDefault="00564088" w:rsidP="00564088">
      <w:pPr>
        <w:pStyle w:val="ListParagraph"/>
        <w:numPr>
          <w:ilvl w:val="0"/>
          <w:numId w:val="13"/>
        </w:numPr>
        <w:rPr>
          <w:rFonts w:ascii="Century Gothic" w:hAnsi="Century Gothic"/>
        </w:rPr>
      </w:pPr>
      <w:r w:rsidRPr="00BA736C">
        <w:rPr>
          <w:rFonts w:ascii="Century Gothic" w:hAnsi="Century Gothic"/>
        </w:rPr>
        <w:t>Brid Featherstone, Professor of Social Work and Head of Department at the University of Huddersfield</w:t>
      </w:r>
    </w:p>
    <w:p w:rsidR="00564088" w:rsidRPr="00BA736C" w:rsidRDefault="00564088" w:rsidP="00564088">
      <w:pPr>
        <w:pStyle w:val="ListParagraph"/>
        <w:numPr>
          <w:ilvl w:val="0"/>
          <w:numId w:val="13"/>
        </w:numPr>
        <w:rPr>
          <w:rFonts w:ascii="Century Gothic" w:hAnsi="Century Gothic"/>
        </w:rPr>
      </w:pPr>
      <w:r w:rsidRPr="00BA736C">
        <w:rPr>
          <w:rFonts w:ascii="Century Gothic" w:hAnsi="Century Gothic"/>
        </w:rPr>
        <w:t>Nina Biehal, Professor of Social Work at the University of York</w:t>
      </w:r>
    </w:p>
    <w:p w:rsidR="00564088" w:rsidRPr="00BA736C" w:rsidRDefault="00564088" w:rsidP="00256709">
      <w:pPr>
        <w:rPr>
          <w:rFonts w:ascii="Century Gothic" w:hAnsi="Century Gothic"/>
          <w:u w:val="single"/>
        </w:rPr>
      </w:pPr>
    </w:p>
    <w:p w:rsidR="00564088" w:rsidRPr="00BA736C" w:rsidRDefault="00564088" w:rsidP="00256709">
      <w:pPr>
        <w:rPr>
          <w:rFonts w:ascii="Century Gothic" w:hAnsi="Century Gothic"/>
          <w:u w:val="single"/>
        </w:rPr>
      </w:pPr>
    </w:p>
    <w:p w:rsidR="00564088" w:rsidRPr="00BA736C" w:rsidRDefault="00564088" w:rsidP="00256709">
      <w:pPr>
        <w:rPr>
          <w:rFonts w:ascii="Century Gothic" w:hAnsi="Century Gothic"/>
          <w:u w:val="single"/>
        </w:rPr>
      </w:pPr>
    </w:p>
    <w:p w:rsidR="00982B12" w:rsidRPr="00BA736C" w:rsidRDefault="00982B12" w:rsidP="00256709">
      <w:pPr>
        <w:rPr>
          <w:rFonts w:ascii="Century Gothic" w:hAnsi="Century Gothic"/>
          <w:b/>
          <w:u w:val="single"/>
        </w:rPr>
      </w:pPr>
    </w:p>
    <w:p w:rsidR="00982B12" w:rsidRPr="00BA736C" w:rsidRDefault="00982B12" w:rsidP="00982B12">
      <w:pPr>
        <w:rPr>
          <w:rFonts w:ascii="Century Gothic" w:hAnsi="Century Gothic"/>
        </w:rPr>
      </w:pPr>
      <w:r w:rsidRPr="00BA736C">
        <w:rPr>
          <w:rFonts w:ascii="Century Gothic" w:hAnsi="Century Gothic"/>
          <w:b/>
        </w:rPr>
        <w:t>Professor Paul Bywaters</w:t>
      </w:r>
      <w:r w:rsidRPr="00BA736C">
        <w:rPr>
          <w:rFonts w:ascii="Century Gothic" w:hAnsi="Century Gothic"/>
        </w:rPr>
        <w:t xml:space="preserve"> outlined the key findings of his research. The major disparities in levels </w:t>
      </w:r>
      <w:r w:rsidR="00E70E54" w:rsidRPr="00BA736C">
        <w:rPr>
          <w:rFonts w:ascii="Century Gothic" w:hAnsi="Century Gothic"/>
        </w:rPr>
        <w:t xml:space="preserve">of </w:t>
      </w:r>
      <w:r w:rsidRPr="00BA736C">
        <w:rPr>
          <w:rFonts w:ascii="Century Gothic" w:hAnsi="Century Gothic"/>
        </w:rPr>
        <w:t>children’s social care interventions can be attributed to three factors:</w:t>
      </w:r>
    </w:p>
    <w:p w:rsidR="00982B12" w:rsidRPr="00BA736C" w:rsidRDefault="00256709" w:rsidP="00982B12">
      <w:pPr>
        <w:pStyle w:val="ListParagraph"/>
        <w:numPr>
          <w:ilvl w:val="0"/>
          <w:numId w:val="4"/>
        </w:numPr>
        <w:rPr>
          <w:rFonts w:ascii="Century Gothic" w:hAnsi="Century Gothic"/>
        </w:rPr>
      </w:pPr>
      <w:r w:rsidRPr="00BA736C">
        <w:rPr>
          <w:rFonts w:ascii="Century Gothic" w:hAnsi="Century Gothic"/>
        </w:rPr>
        <w:lastRenderedPageBreak/>
        <w:t xml:space="preserve">Deprivation – </w:t>
      </w:r>
      <w:r w:rsidR="00982B12" w:rsidRPr="00BA736C">
        <w:rPr>
          <w:rFonts w:ascii="Century Gothic" w:hAnsi="Century Gothic"/>
        </w:rPr>
        <w:t xml:space="preserve">we </w:t>
      </w:r>
      <w:r w:rsidRPr="00BA736C">
        <w:rPr>
          <w:rFonts w:ascii="Century Gothic" w:hAnsi="Century Gothic"/>
        </w:rPr>
        <w:t>can attribute almo</w:t>
      </w:r>
      <w:r w:rsidR="00925F5F" w:rsidRPr="00BA736C">
        <w:rPr>
          <w:rFonts w:ascii="Century Gothic" w:hAnsi="Century Gothic"/>
        </w:rPr>
        <w:t>st 50% of difference between local a</w:t>
      </w:r>
      <w:r w:rsidR="00982B12" w:rsidRPr="00BA736C">
        <w:rPr>
          <w:rFonts w:ascii="Century Gothic" w:hAnsi="Century Gothic"/>
        </w:rPr>
        <w:t>uthorities to deprivation levels</w:t>
      </w:r>
    </w:p>
    <w:p w:rsidR="00982B12" w:rsidRPr="00BA736C" w:rsidRDefault="00982B12" w:rsidP="00982B12">
      <w:pPr>
        <w:pStyle w:val="ListParagraph"/>
        <w:numPr>
          <w:ilvl w:val="0"/>
          <w:numId w:val="4"/>
        </w:numPr>
        <w:rPr>
          <w:rFonts w:ascii="Century Gothic" w:hAnsi="Century Gothic"/>
        </w:rPr>
      </w:pPr>
      <w:r w:rsidRPr="00BA736C">
        <w:rPr>
          <w:rFonts w:ascii="Century Gothic" w:hAnsi="Century Gothic"/>
        </w:rPr>
        <w:t>Ethnicity – this is an almost forgotten subject by policymakers but there are huge variations by ethnicity</w:t>
      </w:r>
    </w:p>
    <w:p w:rsidR="00982B12" w:rsidRPr="00BA736C" w:rsidRDefault="00982B12" w:rsidP="00982B12">
      <w:pPr>
        <w:pStyle w:val="ListParagraph"/>
        <w:numPr>
          <w:ilvl w:val="0"/>
          <w:numId w:val="4"/>
        </w:numPr>
        <w:rPr>
          <w:rFonts w:ascii="Century Gothic" w:hAnsi="Century Gothic"/>
        </w:rPr>
      </w:pPr>
      <w:r w:rsidRPr="00BA736C">
        <w:rPr>
          <w:rFonts w:ascii="Century Gothic" w:hAnsi="Century Gothic"/>
        </w:rPr>
        <w:t>Expenditure. Professor Bywaters highlighted three considerations in relation to expenditure</w:t>
      </w:r>
      <w:r w:rsidR="00256709" w:rsidRPr="00BA736C">
        <w:rPr>
          <w:rFonts w:ascii="Century Gothic" w:hAnsi="Century Gothic"/>
        </w:rPr>
        <w:t>:</w:t>
      </w:r>
    </w:p>
    <w:p w:rsidR="00982B12" w:rsidRPr="00BA736C" w:rsidRDefault="00982B12" w:rsidP="00982B12">
      <w:pPr>
        <w:pStyle w:val="ListParagraph"/>
        <w:numPr>
          <w:ilvl w:val="1"/>
          <w:numId w:val="4"/>
        </w:numPr>
        <w:rPr>
          <w:rFonts w:ascii="Century Gothic" w:hAnsi="Century Gothic"/>
        </w:rPr>
      </w:pPr>
      <w:r w:rsidRPr="00BA736C">
        <w:rPr>
          <w:rFonts w:ascii="Century Gothic" w:hAnsi="Century Gothic"/>
        </w:rPr>
        <w:t xml:space="preserve">Since 2010/11, there has been a reduction in spending of 16% per child. This is despite a 750,000 increase in the number of children in the population. </w:t>
      </w:r>
    </w:p>
    <w:p w:rsidR="00982B12" w:rsidRPr="00BA736C" w:rsidRDefault="00256709" w:rsidP="00982B12">
      <w:pPr>
        <w:pStyle w:val="ListParagraph"/>
        <w:numPr>
          <w:ilvl w:val="1"/>
          <w:numId w:val="4"/>
        </w:numPr>
        <w:rPr>
          <w:rFonts w:ascii="Century Gothic" w:hAnsi="Century Gothic"/>
        </w:rPr>
      </w:pPr>
      <w:r w:rsidRPr="00BA736C">
        <w:rPr>
          <w:rFonts w:ascii="Century Gothic" w:hAnsi="Century Gothic"/>
        </w:rPr>
        <w:t xml:space="preserve">Reductions are greater in </w:t>
      </w:r>
      <w:r w:rsidR="00925F5F" w:rsidRPr="00BA736C">
        <w:rPr>
          <w:rFonts w:ascii="Century Gothic" w:hAnsi="Century Gothic"/>
        </w:rPr>
        <w:t>the most deprived local authorities</w:t>
      </w:r>
      <w:r w:rsidRPr="00BA736C">
        <w:rPr>
          <w:rFonts w:ascii="Century Gothic" w:hAnsi="Century Gothic"/>
        </w:rPr>
        <w:t>.</w:t>
      </w:r>
      <w:r w:rsidR="00925F5F" w:rsidRPr="00BA736C">
        <w:rPr>
          <w:rFonts w:ascii="Century Gothic" w:hAnsi="Century Gothic"/>
        </w:rPr>
        <w:t xml:space="preserve"> In the most deprived local authorities, cuts average </w:t>
      </w:r>
      <w:r w:rsidRPr="00BA736C">
        <w:rPr>
          <w:rFonts w:ascii="Century Gothic" w:hAnsi="Century Gothic"/>
        </w:rPr>
        <w:t xml:space="preserve">27% per child </w:t>
      </w:r>
      <w:r w:rsidR="00925F5F" w:rsidRPr="00BA736C">
        <w:rPr>
          <w:rFonts w:ascii="Century Gothic" w:hAnsi="Century Gothic"/>
        </w:rPr>
        <w:t xml:space="preserve">whereas in the least deprived they were </w:t>
      </w:r>
      <w:r w:rsidRPr="00BA736C">
        <w:rPr>
          <w:rFonts w:ascii="Century Gothic" w:hAnsi="Century Gothic"/>
        </w:rPr>
        <w:t xml:space="preserve">4% </w:t>
      </w:r>
      <w:r w:rsidR="00925F5F" w:rsidRPr="00BA736C">
        <w:rPr>
          <w:rFonts w:ascii="Century Gothic" w:hAnsi="Century Gothic"/>
        </w:rPr>
        <w:t>per child.</w:t>
      </w:r>
    </w:p>
    <w:p w:rsidR="00925F5F" w:rsidRPr="00BA736C" w:rsidRDefault="00925F5F" w:rsidP="00925F5F">
      <w:pPr>
        <w:pStyle w:val="ListParagraph"/>
        <w:numPr>
          <w:ilvl w:val="1"/>
          <w:numId w:val="4"/>
        </w:numPr>
        <w:rPr>
          <w:rFonts w:ascii="Century Gothic" w:hAnsi="Century Gothic"/>
        </w:rPr>
      </w:pPr>
      <w:r w:rsidRPr="00BA736C">
        <w:rPr>
          <w:rFonts w:ascii="Century Gothic" w:hAnsi="Century Gothic"/>
        </w:rPr>
        <w:t>For all local authorities, the combination of rising demand and</w:t>
      </w:r>
      <w:r w:rsidR="00256709" w:rsidRPr="00BA736C">
        <w:rPr>
          <w:rFonts w:ascii="Century Gothic" w:hAnsi="Century Gothic"/>
        </w:rPr>
        <w:t xml:space="preserve"> expenditure constraints </w:t>
      </w:r>
      <w:r w:rsidRPr="00BA736C">
        <w:rPr>
          <w:rFonts w:ascii="Century Gothic" w:hAnsi="Century Gothic"/>
        </w:rPr>
        <w:t>has led to a</w:t>
      </w:r>
      <w:r w:rsidR="00256709" w:rsidRPr="00BA736C">
        <w:rPr>
          <w:rFonts w:ascii="Century Gothic" w:hAnsi="Century Gothic"/>
        </w:rPr>
        <w:t xml:space="preserve"> shift in </w:t>
      </w:r>
      <w:r w:rsidRPr="00BA736C">
        <w:rPr>
          <w:rFonts w:ascii="Century Gothic" w:hAnsi="Century Gothic"/>
        </w:rPr>
        <w:t xml:space="preserve">the </w:t>
      </w:r>
      <w:r w:rsidR="00256709" w:rsidRPr="00BA736C">
        <w:rPr>
          <w:rFonts w:ascii="Century Gothic" w:hAnsi="Century Gothic"/>
        </w:rPr>
        <w:t>balance of service from family support</w:t>
      </w:r>
      <w:r w:rsidRPr="00BA736C">
        <w:rPr>
          <w:rFonts w:ascii="Century Gothic" w:hAnsi="Century Gothic"/>
        </w:rPr>
        <w:t xml:space="preserve"> and </w:t>
      </w:r>
      <w:r w:rsidR="00256709" w:rsidRPr="00BA736C">
        <w:rPr>
          <w:rFonts w:ascii="Century Gothic" w:hAnsi="Century Gothic"/>
        </w:rPr>
        <w:t xml:space="preserve">prevention to protection services. </w:t>
      </w:r>
      <w:r w:rsidRPr="00BA736C">
        <w:rPr>
          <w:rFonts w:ascii="Century Gothic" w:hAnsi="Century Gothic"/>
        </w:rPr>
        <w:t xml:space="preserve">In 2010, expenditure was split approximately 50-50 between these areas whereas now it is closer to 70-30. This is not an intentional policy shift; the Government have highlighted the importance of preventative services but expenditure decisions have not reflected this. </w:t>
      </w:r>
    </w:p>
    <w:p w:rsidR="00256709" w:rsidRPr="00BA736C" w:rsidRDefault="00CA760D" w:rsidP="002E66DD">
      <w:pPr>
        <w:rPr>
          <w:rFonts w:ascii="Century Gothic" w:hAnsi="Century Gothic"/>
        </w:rPr>
      </w:pPr>
      <w:r w:rsidRPr="00BA736C">
        <w:rPr>
          <w:rFonts w:ascii="Century Gothic" w:hAnsi="Century Gothic"/>
          <w:b/>
        </w:rPr>
        <w:t>Professor Kate Morris</w:t>
      </w:r>
      <w:r w:rsidRPr="00BA736C">
        <w:rPr>
          <w:rFonts w:ascii="Century Gothic" w:hAnsi="Century Gothic"/>
        </w:rPr>
        <w:t xml:space="preserve"> outlined her work on the case study element of the research. The research found that v</w:t>
      </w:r>
      <w:r w:rsidR="00256709" w:rsidRPr="00BA736C">
        <w:rPr>
          <w:rFonts w:ascii="Century Gothic" w:hAnsi="Century Gothic"/>
        </w:rPr>
        <w:t xml:space="preserve">ariations </w:t>
      </w:r>
      <w:r w:rsidRPr="00BA736C">
        <w:rPr>
          <w:rFonts w:ascii="Century Gothic" w:hAnsi="Century Gothic"/>
        </w:rPr>
        <w:t>in intervention rate between local authorities</w:t>
      </w:r>
      <w:r w:rsidR="00256709" w:rsidRPr="00BA736C">
        <w:rPr>
          <w:rFonts w:ascii="Century Gothic" w:hAnsi="Century Gothic"/>
        </w:rPr>
        <w:t xml:space="preserve"> are not just a fu</w:t>
      </w:r>
      <w:r w:rsidRPr="00BA736C">
        <w:rPr>
          <w:rFonts w:ascii="Century Gothic" w:hAnsi="Century Gothic"/>
        </w:rPr>
        <w:t>nction of local decision making; in fact there is far more in common between local authorities.</w:t>
      </w:r>
      <w:r w:rsidR="002E66DD" w:rsidRPr="00BA736C">
        <w:rPr>
          <w:rFonts w:ascii="Century Gothic" w:hAnsi="Century Gothic"/>
        </w:rPr>
        <w:t xml:space="preserve"> Similarly there is little difference between social workers’ approaches, all social workers felt a burden of need and spent their time preoccupied with the resource challenge they face. The research identified a mismatch between families’ concerns with basic needs such as income, heating and food and social workers’ focus on identifying child abuse. Families </w:t>
      </w:r>
      <w:r w:rsidR="00256709" w:rsidRPr="00BA736C">
        <w:rPr>
          <w:rFonts w:ascii="Century Gothic" w:hAnsi="Century Gothic"/>
        </w:rPr>
        <w:t>appre</w:t>
      </w:r>
      <w:r w:rsidR="002E66DD" w:rsidRPr="00BA736C">
        <w:rPr>
          <w:rFonts w:ascii="Century Gothic" w:hAnsi="Century Gothic"/>
        </w:rPr>
        <w:t xml:space="preserve">ciate the efforts of individual social workers </w:t>
      </w:r>
      <w:r w:rsidR="00256709" w:rsidRPr="00BA736C">
        <w:rPr>
          <w:rFonts w:ascii="Century Gothic" w:hAnsi="Century Gothic"/>
        </w:rPr>
        <w:t xml:space="preserve">but there is a profound distrust of </w:t>
      </w:r>
      <w:r w:rsidR="002E66DD" w:rsidRPr="00BA736C">
        <w:rPr>
          <w:rFonts w:ascii="Century Gothic" w:hAnsi="Century Gothic"/>
        </w:rPr>
        <w:t xml:space="preserve">children’s </w:t>
      </w:r>
      <w:r w:rsidR="00256709" w:rsidRPr="00BA736C">
        <w:rPr>
          <w:rFonts w:ascii="Century Gothic" w:hAnsi="Century Gothic"/>
        </w:rPr>
        <w:t>ser</w:t>
      </w:r>
      <w:r w:rsidR="002E66DD" w:rsidRPr="00BA736C">
        <w:rPr>
          <w:rFonts w:ascii="Century Gothic" w:hAnsi="Century Gothic"/>
        </w:rPr>
        <w:t xml:space="preserve">vices as a community narrative as a whole. Professor Morris emphasised that the key finding of her research is that differences in practice and leadership are not sufficient to explain variations in interventions. </w:t>
      </w:r>
    </w:p>
    <w:p w:rsidR="00256709" w:rsidRPr="00BA736C" w:rsidRDefault="002E66DD" w:rsidP="00145E73">
      <w:pPr>
        <w:rPr>
          <w:rFonts w:ascii="Century Gothic" w:hAnsi="Century Gothic"/>
        </w:rPr>
      </w:pPr>
      <w:r w:rsidRPr="00BA736C">
        <w:rPr>
          <w:rFonts w:ascii="Century Gothic" w:hAnsi="Century Gothic"/>
          <w:b/>
        </w:rPr>
        <w:t xml:space="preserve">Professor Brid Featherstone </w:t>
      </w:r>
      <w:r w:rsidRPr="00BA736C">
        <w:rPr>
          <w:rFonts w:ascii="Century Gothic" w:hAnsi="Century Gothic"/>
        </w:rPr>
        <w:t>led on</w:t>
      </w:r>
      <w:r w:rsidR="002D4D63" w:rsidRPr="00BA736C">
        <w:rPr>
          <w:rFonts w:ascii="Century Gothic" w:hAnsi="Century Gothic"/>
        </w:rPr>
        <w:t xml:space="preserve"> the impact aspect of the work. </w:t>
      </w:r>
      <w:r w:rsidR="00C93B49" w:rsidRPr="00BA736C">
        <w:rPr>
          <w:rFonts w:ascii="Century Gothic" w:hAnsi="Century Gothic"/>
        </w:rPr>
        <w:t xml:space="preserve">She highlighted a shift in how social services are </w:t>
      </w:r>
      <w:r w:rsidR="00145E73" w:rsidRPr="00BA736C">
        <w:rPr>
          <w:rFonts w:ascii="Century Gothic" w:hAnsi="Century Gothic"/>
        </w:rPr>
        <w:t xml:space="preserve">dealing with families. </w:t>
      </w:r>
      <w:r w:rsidR="00256709" w:rsidRPr="00BA736C">
        <w:rPr>
          <w:rFonts w:ascii="Century Gothic" w:hAnsi="Century Gothic"/>
        </w:rPr>
        <w:t xml:space="preserve">Families </w:t>
      </w:r>
      <w:r w:rsidR="00145E73" w:rsidRPr="00BA736C">
        <w:rPr>
          <w:rFonts w:ascii="Century Gothic" w:hAnsi="Century Gothic"/>
        </w:rPr>
        <w:t xml:space="preserve">now </w:t>
      </w:r>
      <w:r w:rsidR="00256709" w:rsidRPr="00BA736C">
        <w:rPr>
          <w:rFonts w:ascii="Century Gothic" w:hAnsi="Century Gothic"/>
        </w:rPr>
        <w:t xml:space="preserve">have to translate their story of need for help into a story of risk in order </w:t>
      </w:r>
      <w:r w:rsidR="00145E73" w:rsidRPr="00BA736C">
        <w:rPr>
          <w:rFonts w:ascii="Century Gothic" w:hAnsi="Century Gothic"/>
        </w:rPr>
        <w:t xml:space="preserve">to be heard by social services which leads to an environment of suspicion. There has also been a shift in terms of expenditure towards very time-limited support, for example in terms of the support that children with learning difficulties receive. Family support services have been “hollowed out.” For example, mothers experiencing domestic abuse receive an immediate risk-oriented response. The overall effect of this means that social services’ work is being funnelled in a very narrow way. </w:t>
      </w:r>
    </w:p>
    <w:p w:rsidR="00E51608" w:rsidRPr="00BA736C" w:rsidRDefault="00145E73" w:rsidP="00E51608">
      <w:pPr>
        <w:rPr>
          <w:rFonts w:ascii="Century Gothic" w:hAnsi="Century Gothic"/>
        </w:rPr>
      </w:pPr>
      <w:r w:rsidRPr="00BA736C">
        <w:rPr>
          <w:rFonts w:ascii="Century Gothic" w:hAnsi="Century Gothic"/>
          <w:b/>
        </w:rPr>
        <w:t xml:space="preserve">Professor Nina Biehal </w:t>
      </w:r>
      <w:r w:rsidRPr="00BA736C">
        <w:rPr>
          <w:rFonts w:ascii="Century Gothic" w:hAnsi="Century Gothic"/>
        </w:rPr>
        <w:t xml:space="preserve">discussed two recent studies which considered the question of whether thresholds are too high or too low. </w:t>
      </w:r>
      <w:r w:rsidR="00E51608" w:rsidRPr="00BA736C">
        <w:rPr>
          <w:rFonts w:ascii="Century Gothic" w:hAnsi="Century Gothic"/>
        </w:rPr>
        <w:t>The studies looked at the severity of different types of abuse and neglect for over 600 childre</w:t>
      </w:r>
      <w:r w:rsidR="002D4D63" w:rsidRPr="00BA736C">
        <w:rPr>
          <w:rFonts w:ascii="Century Gothic" w:hAnsi="Century Gothic"/>
        </w:rPr>
        <w:t>n</w:t>
      </w:r>
      <w:r w:rsidR="00E51608" w:rsidRPr="00BA736C">
        <w:rPr>
          <w:rFonts w:ascii="Century Gothic" w:hAnsi="Century Gothic"/>
        </w:rPr>
        <w:t xml:space="preserve"> and gave these a standardised rating measure. The f</w:t>
      </w:r>
      <w:r w:rsidR="00256709" w:rsidRPr="00BA736C">
        <w:rPr>
          <w:rFonts w:ascii="Century Gothic" w:hAnsi="Century Gothic"/>
        </w:rPr>
        <w:t xml:space="preserve">irst study was part of </w:t>
      </w:r>
      <w:r w:rsidR="00E51608" w:rsidRPr="00BA736C">
        <w:rPr>
          <w:rFonts w:ascii="Century Gothic" w:hAnsi="Century Gothic"/>
        </w:rPr>
        <w:t xml:space="preserve">a </w:t>
      </w:r>
      <w:r w:rsidR="00256709" w:rsidRPr="00BA736C">
        <w:rPr>
          <w:rFonts w:ascii="Century Gothic" w:hAnsi="Century Gothic"/>
        </w:rPr>
        <w:t>wider comparative Euro</w:t>
      </w:r>
      <w:r w:rsidR="00E51608" w:rsidRPr="00BA736C">
        <w:rPr>
          <w:rFonts w:ascii="Century Gothic" w:hAnsi="Century Gothic"/>
        </w:rPr>
        <w:t>pean</w:t>
      </w:r>
      <w:r w:rsidR="00256709" w:rsidRPr="00BA736C">
        <w:rPr>
          <w:rFonts w:ascii="Century Gothic" w:hAnsi="Century Gothic"/>
        </w:rPr>
        <w:t xml:space="preserve"> </w:t>
      </w:r>
      <w:r w:rsidR="00E51608" w:rsidRPr="00BA736C">
        <w:rPr>
          <w:rFonts w:ascii="Century Gothic" w:hAnsi="Century Gothic"/>
        </w:rPr>
        <w:t>study</w:t>
      </w:r>
      <w:r w:rsidR="00256709" w:rsidRPr="00BA736C">
        <w:rPr>
          <w:rFonts w:ascii="Century Gothic" w:hAnsi="Century Gothic"/>
        </w:rPr>
        <w:t xml:space="preserve"> comparing child protect</w:t>
      </w:r>
      <w:r w:rsidR="00E51608" w:rsidRPr="00BA736C">
        <w:rPr>
          <w:rFonts w:ascii="Century Gothic" w:hAnsi="Century Gothic"/>
        </w:rPr>
        <w:t>ion</w:t>
      </w:r>
      <w:r w:rsidR="00256709" w:rsidRPr="00BA736C">
        <w:rPr>
          <w:rFonts w:ascii="Century Gothic" w:hAnsi="Century Gothic"/>
        </w:rPr>
        <w:t xml:space="preserve"> systems. </w:t>
      </w:r>
      <w:r w:rsidR="00E51608" w:rsidRPr="00BA736C">
        <w:rPr>
          <w:rFonts w:ascii="Century Gothic" w:hAnsi="Century Gothic"/>
        </w:rPr>
        <w:t xml:space="preserve">It looked at 400 children subject to section 47 enquiries across four local authorities and was able to use the standardised measure for 266 children. Of these, 11% became looked after, and of those who became looked after 85% were rated very high in the severity of abuse or neglect. If thresholds were high, this is what </w:t>
      </w:r>
      <w:r w:rsidR="002D4D63" w:rsidRPr="00BA736C">
        <w:rPr>
          <w:rFonts w:ascii="Century Gothic" w:hAnsi="Century Gothic"/>
        </w:rPr>
        <w:t xml:space="preserve">we would expect to be happening. </w:t>
      </w:r>
      <w:r w:rsidR="0092637A" w:rsidRPr="00BA736C">
        <w:rPr>
          <w:rFonts w:ascii="Century Gothic" w:hAnsi="Century Gothic"/>
        </w:rPr>
        <w:t xml:space="preserve">Across the four local authorities studied there was significant variation. </w:t>
      </w:r>
    </w:p>
    <w:p w:rsidR="0092637A" w:rsidRPr="00BA736C" w:rsidRDefault="0092637A" w:rsidP="0092637A">
      <w:pPr>
        <w:rPr>
          <w:rFonts w:ascii="Century Gothic" w:hAnsi="Century Gothic"/>
        </w:rPr>
      </w:pPr>
      <w:r w:rsidRPr="00BA736C">
        <w:rPr>
          <w:rFonts w:ascii="Century Gothic" w:hAnsi="Century Gothic"/>
        </w:rPr>
        <w:t xml:space="preserve">The second study looked at over 300 children in one local authority. It found that 88% of looked after children had experienced most severe level of maltreatment and that the threshold for becoming looked after was very high. The study did not look at change over time, but it does enable us to conclude that for these five local authorities thresholds seem to be extremely high. This finding makes sense in the context of poverty, homelessness, funding pressures, rising demand and reduced services. </w:t>
      </w:r>
    </w:p>
    <w:p w:rsidR="002D4D63" w:rsidRPr="00BA736C" w:rsidRDefault="005E4545" w:rsidP="002D4D63">
      <w:pPr>
        <w:rPr>
          <w:rFonts w:ascii="Century Gothic" w:hAnsi="Century Gothic"/>
        </w:rPr>
      </w:pPr>
      <w:r w:rsidRPr="00BA736C">
        <w:rPr>
          <w:rFonts w:ascii="Century Gothic" w:hAnsi="Century Gothic"/>
          <w:b/>
        </w:rPr>
        <w:t xml:space="preserve">Tim Loughton MP </w:t>
      </w:r>
      <w:r w:rsidR="002D4D63" w:rsidRPr="00BA736C">
        <w:rPr>
          <w:rFonts w:ascii="Century Gothic" w:hAnsi="Century Gothic"/>
        </w:rPr>
        <w:t xml:space="preserve">asked about the figure of 750,000 </w:t>
      </w:r>
      <w:r w:rsidR="002D4D63" w:rsidRPr="00BA736C">
        <w:rPr>
          <w:rFonts w:ascii="Century Gothic" w:hAnsi="Century Gothic"/>
        </w:rPr>
        <w:t>more children in this country since 2010</w:t>
      </w:r>
      <w:r w:rsidR="002D4D63" w:rsidRPr="00BA736C">
        <w:rPr>
          <w:rFonts w:ascii="Century Gothic" w:hAnsi="Century Gothic"/>
        </w:rPr>
        <w:t xml:space="preserve"> which are </w:t>
      </w:r>
      <w:r w:rsidR="002D4D63" w:rsidRPr="00BA736C">
        <w:rPr>
          <w:rFonts w:ascii="Century Gothic" w:hAnsi="Century Gothic"/>
        </w:rPr>
        <w:t>disproportionately more in poorer areas</w:t>
      </w:r>
      <w:r w:rsidR="002D4D63" w:rsidRPr="00BA736C">
        <w:rPr>
          <w:rFonts w:ascii="Century Gothic" w:hAnsi="Century Gothic"/>
        </w:rPr>
        <w:t xml:space="preserve"> and presumable more from BME families </w:t>
      </w:r>
      <w:r w:rsidR="002D4D63" w:rsidRPr="00BA736C">
        <w:rPr>
          <w:rFonts w:ascii="Century Gothic" w:hAnsi="Century Gothic"/>
        </w:rPr>
        <w:t>in some of those poorer areas as well where, from findings, they are more likely to need to have some form of support earlier or later on. So, trebly putting pressure on those authorities.</w:t>
      </w:r>
    </w:p>
    <w:p w:rsidR="00415836" w:rsidRPr="00BA736C" w:rsidRDefault="00415836" w:rsidP="00415836">
      <w:pPr>
        <w:rPr>
          <w:rFonts w:ascii="Century Gothic" w:hAnsi="Century Gothic"/>
        </w:rPr>
      </w:pPr>
      <w:r w:rsidRPr="00BA736C">
        <w:rPr>
          <w:rFonts w:ascii="Century Gothic" w:hAnsi="Century Gothic"/>
          <w:b/>
        </w:rPr>
        <w:t>Professor Paul Bywaters</w:t>
      </w:r>
      <w:r w:rsidRPr="00BA736C">
        <w:rPr>
          <w:rFonts w:ascii="Century Gothic" w:hAnsi="Century Gothic"/>
        </w:rPr>
        <w:t xml:space="preserve"> said that the findings of the research challenge the view that BME children are over-represented in the care system. Once we control for deprivation this is no longer the case. </w:t>
      </w:r>
    </w:p>
    <w:p w:rsidR="00415836" w:rsidRPr="00BA736C" w:rsidRDefault="00415836" w:rsidP="00415836">
      <w:pPr>
        <w:rPr>
          <w:rFonts w:ascii="Century Gothic" w:hAnsi="Century Gothic"/>
        </w:rPr>
      </w:pPr>
      <w:r w:rsidRPr="00BA736C">
        <w:rPr>
          <w:rFonts w:ascii="Century Gothic" w:hAnsi="Century Gothic"/>
        </w:rPr>
        <w:t>More broadly, there are h</w:t>
      </w:r>
      <w:r w:rsidR="00256709" w:rsidRPr="00BA736C">
        <w:rPr>
          <w:rFonts w:ascii="Century Gothic" w:hAnsi="Century Gothic"/>
        </w:rPr>
        <w:t xml:space="preserve">uge inequalities between </w:t>
      </w:r>
      <w:r w:rsidR="006246EC" w:rsidRPr="00BA736C">
        <w:rPr>
          <w:rFonts w:ascii="Century Gothic" w:hAnsi="Century Gothic"/>
        </w:rPr>
        <w:t xml:space="preserve">ethnic </w:t>
      </w:r>
      <w:r w:rsidR="00256709" w:rsidRPr="00BA736C">
        <w:rPr>
          <w:rFonts w:ascii="Century Gothic" w:hAnsi="Century Gothic"/>
        </w:rPr>
        <w:t>groups of childre</w:t>
      </w:r>
      <w:r w:rsidRPr="00BA736C">
        <w:rPr>
          <w:rFonts w:ascii="Century Gothic" w:hAnsi="Century Gothic"/>
        </w:rPr>
        <w:t xml:space="preserve">n which are </w:t>
      </w:r>
      <w:r w:rsidR="006246EC" w:rsidRPr="00BA736C">
        <w:rPr>
          <w:rFonts w:ascii="Century Gothic" w:hAnsi="Century Gothic"/>
        </w:rPr>
        <w:t xml:space="preserve">scarcely focused on at all in public policy. </w:t>
      </w:r>
      <w:r w:rsidRPr="00BA736C">
        <w:rPr>
          <w:rFonts w:ascii="Century Gothic" w:hAnsi="Century Gothic"/>
        </w:rPr>
        <w:t xml:space="preserve">These have consequences for the economy and for </w:t>
      </w:r>
      <w:r w:rsidR="006246EC" w:rsidRPr="00BA736C">
        <w:rPr>
          <w:rFonts w:ascii="Century Gothic" w:hAnsi="Century Gothic"/>
        </w:rPr>
        <w:t xml:space="preserve">children and families. </w:t>
      </w:r>
      <w:r w:rsidRPr="00BA736C">
        <w:rPr>
          <w:rFonts w:ascii="Century Gothic" w:hAnsi="Century Gothic"/>
        </w:rPr>
        <w:t xml:space="preserve">There are a lot of things we don’t know in relation to inequalities between ethnic groups – are some families better at looking after children, are services not reaching them or are they resisting them. There is a need for more research to be done in this area before we draw conclusions. </w:t>
      </w:r>
    </w:p>
    <w:p w:rsidR="006246EC" w:rsidRPr="00BA736C" w:rsidRDefault="001A260E" w:rsidP="00256709">
      <w:pPr>
        <w:rPr>
          <w:rFonts w:ascii="Century Gothic" w:hAnsi="Century Gothic"/>
        </w:rPr>
      </w:pPr>
      <w:r w:rsidRPr="00BA736C">
        <w:rPr>
          <w:rFonts w:ascii="Century Gothic" w:hAnsi="Century Gothic"/>
          <w:b/>
        </w:rPr>
        <w:t xml:space="preserve">Professor Biehal </w:t>
      </w:r>
      <w:r w:rsidRPr="00BA736C">
        <w:rPr>
          <w:rFonts w:ascii="Century Gothic" w:hAnsi="Century Gothic"/>
        </w:rPr>
        <w:t xml:space="preserve">highlighted an example from her research of the need to better understand the relationship between ethnicity and risk, in relation to a local authority which had a high south Asian population, the majority of whom were Muslim and therefore experience lower rates of alcohol abuse which is a significant factor in child mistreatment. </w:t>
      </w:r>
    </w:p>
    <w:p w:rsidR="001A260E" w:rsidRPr="00BA736C" w:rsidRDefault="001A260E" w:rsidP="00256709">
      <w:pPr>
        <w:rPr>
          <w:rFonts w:ascii="Century Gothic" w:hAnsi="Century Gothic"/>
        </w:rPr>
      </w:pPr>
      <w:r w:rsidRPr="00BA736C">
        <w:rPr>
          <w:rFonts w:ascii="Century Gothic" w:hAnsi="Century Gothic"/>
        </w:rPr>
        <w:t xml:space="preserve">The Question and Answer session moved on to consider the relationship between austerity and the quality of services. The Government, National Audit Office and Ofsted have all said that poverty and quality of services are not linked. </w:t>
      </w:r>
      <w:r w:rsidRPr="00BA736C">
        <w:rPr>
          <w:rFonts w:ascii="Century Gothic" w:hAnsi="Century Gothic"/>
          <w:b/>
        </w:rPr>
        <w:t xml:space="preserve">Professor Bywaters </w:t>
      </w:r>
      <w:r w:rsidRPr="00BA736C">
        <w:rPr>
          <w:rFonts w:ascii="Century Gothic" w:hAnsi="Century Gothic"/>
        </w:rPr>
        <w:t xml:space="preserve">stated that this flies in the face of evidence such as Ofsted ratings. Policy makers are reluctant to talk about the relationship between deprivation, expenditure and the quality of services. </w:t>
      </w:r>
    </w:p>
    <w:p w:rsidR="001A260E" w:rsidRPr="00BA736C" w:rsidRDefault="001A260E" w:rsidP="00256709">
      <w:pPr>
        <w:rPr>
          <w:rFonts w:ascii="Century Gothic" w:hAnsi="Century Gothic"/>
        </w:rPr>
      </w:pPr>
      <w:r w:rsidRPr="00BA736C">
        <w:rPr>
          <w:rFonts w:ascii="Century Gothic" w:hAnsi="Century Gothic"/>
        </w:rPr>
        <w:t>In relation to family factors in BME families, parti</w:t>
      </w:r>
      <w:r w:rsidR="0068587E" w:rsidRPr="00BA736C">
        <w:rPr>
          <w:rFonts w:ascii="Century Gothic" w:hAnsi="Century Gothic"/>
        </w:rPr>
        <w:t xml:space="preserve">cularly the reported high rates of absence of Afro-Caribbean fathers, </w:t>
      </w:r>
      <w:r w:rsidR="0068587E" w:rsidRPr="00BA736C">
        <w:rPr>
          <w:rFonts w:ascii="Century Gothic" w:hAnsi="Century Gothic"/>
          <w:b/>
        </w:rPr>
        <w:t xml:space="preserve">Professor Bywaters </w:t>
      </w:r>
      <w:r w:rsidR="0068587E" w:rsidRPr="00BA736C">
        <w:rPr>
          <w:rFonts w:ascii="Century Gothic" w:hAnsi="Century Gothic"/>
        </w:rPr>
        <w:t xml:space="preserve">expressed reluctance to discuss this in the absence of evidence to confirm whether assumptions about the behaviour of families in particular ethnic groups are correct. </w:t>
      </w:r>
    </w:p>
    <w:p w:rsidR="001A260E" w:rsidRPr="00BA736C" w:rsidRDefault="001A260E" w:rsidP="00256709">
      <w:pPr>
        <w:rPr>
          <w:rFonts w:ascii="Century Gothic" w:hAnsi="Century Gothic"/>
        </w:rPr>
      </w:pPr>
      <w:r w:rsidRPr="00BA736C">
        <w:rPr>
          <w:rFonts w:ascii="Century Gothic" w:hAnsi="Century Gothic"/>
          <w:b/>
        </w:rPr>
        <w:t xml:space="preserve">The Earl of </w:t>
      </w:r>
      <w:proofErr w:type="spellStart"/>
      <w:r w:rsidRPr="00BA736C">
        <w:rPr>
          <w:rFonts w:ascii="Century Gothic" w:hAnsi="Century Gothic"/>
          <w:b/>
        </w:rPr>
        <w:t>Listowel</w:t>
      </w:r>
      <w:proofErr w:type="spellEnd"/>
      <w:r w:rsidRPr="00BA736C">
        <w:rPr>
          <w:rFonts w:ascii="Century Gothic" w:hAnsi="Century Gothic"/>
          <w:b/>
        </w:rPr>
        <w:t xml:space="preserve"> </w:t>
      </w:r>
      <w:r w:rsidRPr="00BA736C">
        <w:rPr>
          <w:rFonts w:ascii="Century Gothic" w:hAnsi="Century Gothic"/>
        </w:rPr>
        <w:t xml:space="preserve">asked about </w:t>
      </w:r>
      <w:r w:rsidR="0068587E" w:rsidRPr="00BA736C">
        <w:rPr>
          <w:rFonts w:ascii="Century Gothic" w:hAnsi="Century Gothic"/>
        </w:rPr>
        <w:t xml:space="preserve">the value of a potential direct consultation mechanism between social workers and </w:t>
      </w:r>
      <w:r w:rsidR="00622A2B" w:rsidRPr="00BA736C">
        <w:rPr>
          <w:rFonts w:ascii="Century Gothic" w:hAnsi="Century Gothic"/>
        </w:rPr>
        <w:t xml:space="preserve">decision makers, as there are with children and young people. The response from the panel was that this is worth considering, however </w:t>
      </w:r>
      <w:r w:rsidR="00622A2B" w:rsidRPr="00BA736C">
        <w:rPr>
          <w:rFonts w:ascii="Century Gothic" w:hAnsi="Century Gothic"/>
          <w:b/>
        </w:rPr>
        <w:t>Professor Morris’s</w:t>
      </w:r>
      <w:r w:rsidR="00622A2B" w:rsidRPr="00BA736C">
        <w:rPr>
          <w:rFonts w:ascii="Century Gothic" w:hAnsi="Century Gothic"/>
        </w:rPr>
        <w:t xml:space="preserve"> findings highlighted that social workers’ priorities can be mismatched to those of families, who were mainly focused on socio-economic concerns. </w:t>
      </w:r>
      <w:r w:rsidR="00622A2B" w:rsidRPr="00BA736C">
        <w:rPr>
          <w:rFonts w:ascii="Century Gothic" w:hAnsi="Century Gothic"/>
          <w:b/>
        </w:rPr>
        <w:t>Professor Featherstone</w:t>
      </w:r>
      <w:r w:rsidR="00622A2B" w:rsidRPr="00BA736C">
        <w:rPr>
          <w:rFonts w:ascii="Century Gothic" w:hAnsi="Century Gothic"/>
        </w:rPr>
        <w:t xml:space="preserve"> gave an example however of the recent adoption enquiry in which social workers were able to be reflective about the influence of the austerity context in which they are working (in contrast to their everyday practice in which this did not feature). </w:t>
      </w:r>
    </w:p>
    <w:p w:rsidR="000D0177" w:rsidRPr="00BA736C" w:rsidRDefault="000D0177" w:rsidP="00543E2C">
      <w:pPr>
        <w:rPr>
          <w:rFonts w:ascii="Century Gothic" w:hAnsi="Century Gothic"/>
        </w:rPr>
      </w:pPr>
      <w:r w:rsidRPr="00BA736C">
        <w:rPr>
          <w:rFonts w:ascii="Century Gothic" w:hAnsi="Century Gothic"/>
          <w:b/>
        </w:rPr>
        <w:t>Baroness Tyler</w:t>
      </w:r>
      <w:r w:rsidR="00622A2B" w:rsidRPr="00BA736C">
        <w:rPr>
          <w:rFonts w:ascii="Century Gothic" w:hAnsi="Century Gothic"/>
        </w:rPr>
        <w:t xml:space="preserve"> picked</w:t>
      </w:r>
      <w:r w:rsidRPr="00BA736C">
        <w:rPr>
          <w:rFonts w:ascii="Century Gothic" w:hAnsi="Century Gothic"/>
        </w:rPr>
        <w:t xml:space="preserve"> up on </w:t>
      </w:r>
      <w:r w:rsidR="00622A2B" w:rsidRPr="00BA736C">
        <w:rPr>
          <w:rFonts w:ascii="Century Gothic" w:hAnsi="Century Gothic"/>
        </w:rPr>
        <w:t xml:space="preserve">the </w:t>
      </w:r>
      <w:r w:rsidRPr="00BA736C">
        <w:rPr>
          <w:rFonts w:ascii="Century Gothic" w:hAnsi="Century Gothic"/>
        </w:rPr>
        <w:t>point about emphasising risk to access services</w:t>
      </w:r>
      <w:r w:rsidR="00622A2B" w:rsidRPr="00BA736C">
        <w:rPr>
          <w:rFonts w:ascii="Century Gothic" w:hAnsi="Century Gothic"/>
        </w:rPr>
        <w:t xml:space="preserve"> and asked whether this is </w:t>
      </w:r>
      <w:r w:rsidRPr="00BA736C">
        <w:rPr>
          <w:rFonts w:ascii="Century Gothic" w:hAnsi="Century Gothic"/>
        </w:rPr>
        <w:t>to do with</w:t>
      </w:r>
      <w:r w:rsidR="00622A2B" w:rsidRPr="00BA736C">
        <w:rPr>
          <w:rFonts w:ascii="Century Gothic" w:hAnsi="Century Gothic"/>
        </w:rPr>
        <w:t xml:space="preserve"> the</w:t>
      </w:r>
      <w:r w:rsidRPr="00BA736C">
        <w:rPr>
          <w:rFonts w:ascii="Century Gothic" w:hAnsi="Century Gothic"/>
        </w:rPr>
        <w:t xml:space="preserve"> rationing of services availabl</w:t>
      </w:r>
      <w:r w:rsidR="00622A2B" w:rsidRPr="00BA736C">
        <w:rPr>
          <w:rFonts w:ascii="Century Gothic" w:hAnsi="Century Gothic"/>
        </w:rPr>
        <w:t>e or is it linked to the way social workers</w:t>
      </w:r>
      <w:r w:rsidRPr="00BA736C">
        <w:rPr>
          <w:rFonts w:ascii="Century Gothic" w:hAnsi="Century Gothic"/>
        </w:rPr>
        <w:t xml:space="preserve"> are being trained and managed.</w:t>
      </w:r>
      <w:r w:rsidR="00622A2B" w:rsidRPr="00BA736C">
        <w:rPr>
          <w:rFonts w:ascii="Century Gothic" w:hAnsi="Century Gothic"/>
        </w:rPr>
        <w:t xml:space="preserve"> </w:t>
      </w:r>
      <w:r w:rsidR="00622A2B" w:rsidRPr="00BA736C">
        <w:rPr>
          <w:rFonts w:ascii="Century Gothic" w:hAnsi="Century Gothic"/>
          <w:b/>
        </w:rPr>
        <w:t xml:space="preserve">Professor Morris </w:t>
      </w:r>
      <w:r w:rsidR="00622A2B" w:rsidRPr="00BA736C">
        <w:rPr>
          <w:rFonts w:ascii="Century Gothic" w:hAnsi="Century Gothic"/>
        </w:rPr>
        <w:t>responded that all social workers</w:t>
      </w:r>
      <w:r w:rsidRPr="00BA736C">
        <w:rPr>
          <w:rFonts w:ascii="Century Gothic" w:hAnsi="Century Gothic"/>
        </w:rPr>
        <w:t xml:space="preserve"> studied e</w:t>
      </w:r>
      <w:r w:rsidR="00622A2B" w:rsidRPr="00BA736C">
        <w:rPr>
          <w:rFonts w:ascii="Century Gothic" w:hAnsi="Century Gothic"/>
        </w:rPr>
        <w:t>ngaged in rationing of services and that is social workers</w:t>
      </w:r>
      <w:r w:rsidRPr="00BA736C">
        <w:rPr>
          <w:rFonts w:ascii="Century Gothic" w:hAnsi="Century Gothic"/>
        </w:rPr>
        <w:t xml:space="preserve"> have become risk-preoccupied this would not necessarily be their choice. </w:t>
      </w:r>
    </w:p>
    <w:p w:rsidR="000D0177" w:rsidRPr="00BE6146" w:rsidRDefault="000D0177" w:rsidP="00543E2C">
      <w:pPr>
        <w:rPr>
          <w:rFonts w:ascii="Century Gothic" w:hAnsi="Century Gothic"/>
          <w:b/>
          <w:u w:val="single"/>
        </w:rPr>
      </w:pPr>
      <w:bookmarkStart w:id="0" w:name="_GoBack"/>
      <w:r w:rsidRPr="00BE6146">
        <w:rPr>
          <w:rFonts w:ascii="Century Gothic" w:hAnsi="Century Gothic"/>
          <w:b/>
          <w:u w:val="single"/>
        </w:rPr>
        <w:t>Panel 2</w:t>
      </w:r>
      <w:r w:rsidR="00622A2B" w:rsidRPr="00BE6146">
        <w:rPr>
          <w:rFonts w:ascii="Century Gothic" w:hAnsi="Century Gothic"/>
          <w:b/>
          <w:u w:val="single"/>
        </w:rPr>
        <w:t>: Perspectives from Senior Sector Representatives</w:t>
      </w:r>
    </w:p>
    <w:bookmarkEnd w:id="0"/>
    <w:p w:rsidR="000D0177" w:rsidRPr="00BA736C" w:rsidRDefault="00622A2B" w:rsidP="00543E2C">
      <w:pPr>
        <w:rPr>
          <w:rFonts w:ascii="Century Gothic" w:hAnsi="Century Gothic"/>
        </w:rPr>
      </w:pPr>
      <w:r w:rsidRPr="00BA736C">
        <w:rPr>
          <w:rFonts w:ascii="Century Gothic" w:hAnsi="Century Gothic"/>
          <w:b/>
        </w:rPr>
        <w:t xml:space="preserve">Jane </w:t>
      </w:r>
      <w:proofErr w:type="spellStart"/>
      <w:r w:rsidRPr="00BA736C">
        <w:rPr>
          <w:rFonts w:ascii="Century Gothic" w:hAnsi="Century Gothic"/>
          <w:b/>
        </w:rPr>
        <w:t>Pickethall</w:t>
      </w:r>
      <w:proofErr w:type="spellEnd"/>
      <w:r w:rsidRPr="00BA736C">
        <w:rPr>
          <w:rFonts w:ascii="Century Gothic" w:hAnsi="Century Gothic"/>
          <w:b/>
        </w:rPr>
        <w:t xml:space="preserve">, </w:t>
      </w:r>
      <w:r w:rsidRPr="00BA736C">
        <w:rPr>
          <w:rFonts w:ascii="Century Gothic" w:hAnsi="Century Gothic"/>
        </w:rPr>
        <w:t xml:space="preserve">Chair of the National Association for Virtual School Heads (NAVSH) outlined the role of a Virtual School Head a having oversight of education of looked after children. NAVSH was set up to conduct research and ensure that the support network is in place around the child. </w:t>
      </w:r>
    </w:p>
    <w:p w:rsidR="00984E15" w:rsidRPr="00BA736C" w:rsidRDefault="00622A2B" w:rsidP="00984E15">
      <w:pPr>
        <w:rPr>
          <w:rFonts w:ascii="Century Gothic" w:hAnsi="Century Gothic"/>
        </w:rPr>
      </w:pPr>
      <w:r w:rsidRPr="00BA736C">
        <w:rPr>
          <w:rFonts w:ascii="Century Gothic" w:hAnsi="Century Gothic"/>
        </w:rPr>
        <w:t xml:space="preserve">The Association is seeing increased pressure, with very few members coming into the role now just as Virtual School Heads, </w:t>
      </w:r>
      <w:r w:rsidR="00984E15" w:rsidRPr="00BA736C">
        <w:rPr>
          <w:rFonts w:ascii="Century Gothic" w:hAnsi="Century Gothic"/>
        </w:rPr>
        <w:t xml:space="preserve">they usually have other roles as well which leads to a watering down of the role. NAVSH also manages the Pupil Premium Plus. Increasingly this funding is being used to prop up virtual school heads which NAVSH doesn’t want to see. School funding pressures are leading to support staff being cut, yet these staff often make the difference for looked after children. NAVSH is also seeing a lot more generic support for families prior to coming into care rather than the specialist services which they can access once in care. There is also significant variation between virtual schools. </w:t>
      </w:r>
    </w:p>
    <w:p w:rsidR="00D03BCF" w:rsidRPr="00BA736C" w:rsidRDefault="0015573A" w:rsidP="003C7188">
      <w:pPr>
        <w:rPr>
          <w:rFonts w:ascii="Century Gothic" w:hAnsi="Century Gothic"/>
        </w:rPr>
      </w:pPr>
      <w:r w:rsidRPr="00BA736C">
        <w:rPr>
          <w:rFonts w:ascii="Century Gothic" w:hAnsi="Century Gothic"/>
          <w:b/>
        </w:rPr>
        <w:t>David Ashcroft</w:t>
      </w:r>
      <w:r w:rsidRPr="00BA736C">
        <w:rPr>
          <w:rFonts w:ascii="Century Gothic" w:hAnsi="Century Gothic"/>
        </w:rPr>
        <w:t>,</w:t>
      </w:r>
      <w:r w:rsidRPr="00BA736C">
        <w:rPr>
          <w:rFonts w:ascii="Century Gothic" w:hAnsi="Century Gothic"/>
          <w:b/>
        </w:rPr>
        <w:t xml:space="preserve"> </w:t>
      </w:r>
      <w:r w:rsidRPr="00BA736C">
        <w:rPr>
          <w:rFonts w:ascii="Century Gothic" w:hAnsi="Century Gothic"/>
        </w:rPr>
        <w:t>Chair of the Association of Independent LSCB Chairs</w:t>
      </w:r>
      <w:r w:rsidR="002D4D63" w:rsidRPr="00BA736C">
        <w:rPr>
          <w:rFonts w:ascii="Century Gothic" w:hAnsi="Century Gothic"/>
        </w:rPr>
        <w:t xml:space="preserve">, </w:t>
      </w:r>
      <w:r w:rsidR="00791695" w:rsidRPr="00BA736C">
        <w:rPr>
          <w:rFonts w:ascii="Century Gothic" w:hAnsi="Century Gothic"/>
        </w:rPr>
        <w:t>reflected on the need for the sector to get better at using insights from academics. We need to talk about the</w:t>
      </w:r>
      <w:r w:rsidR="00D03BCF" w:rsidRPr="00BA736C">
        <w:rPr>
          <w:rFonts w:ascii="Century Gothic" w:hAnsi="Century Gothic"/>
        </w:rPr>
        <w:t xml:space="preserve"> whole system, not social care. From the perspective of the Association, there is a squeeze in how services are working for children in need. The application of thresholds is shifting. The experience of safeguarding boards is that they are increasingly required to look at issues like domestic violence, Prevent, Missing </w:t>
      </w:r>
      <w:proofErr w:type="spellStart"/>
      <w:r w:rsidR="00D03BCF" w:rsidRPr="00BA736C">
        <w:rPr>
          <w:rFonts w:ascii="Century Gothic" w:hAnsi="Century Gothic"/>
        </w:rPr>
        <w:t>etc</w:t>
      </w:r>
      <w:proofErr w:type="spellEnd"/>
      <w:r w:rsidR="00D03BCF" w:rsidRPr="00BA736C">
        <w:rPr>
          <w:rFonts w:ascii="Century Gothic" w:hAnsi="Century Gothic"/>
        </w:rPr>
        <w:t xml:space="preserve"> and need to respond to these challenges but not allow them to define how we approach safeguarding. We know that abuse is complex, intergeneration and crosses boundaries and jurisdictions. One source of optimism is that some local authorities are moving away from thresholds as gatekeeping for social care and use them as a vantage point to approach a whole system approach. One example of this type of innovative goo practice is Norfolk’s </w:t>
      </w:r>
      <w:hyperlink r:id="rId6" w:history="1">
        <w:r w:rsidR="00D03BCF" w:rsidRPr="00BA736C">
          <w:rPr>
            <w:rStyle w:val="Hyperlink"/>
            <w:rFonts w:ascii="Century Gothic" w:hAnsi="Century Gothic"/>
            <w:color w:val="auto"/>
          </w:rPr>
          <w:t>Signs of Safety</w:t>
        </w:r>
      </w:hyperlink>
      <w:r w:rsidR="00D03BCF" w:rsidRPr="00BA736C">
        <w:rPr>
          <w:rFonts w:ascii="Century Gothic" w:hAnsi="Century Gothic"/>
        </w:rPr>
        <w:t xml:space="preserve"> programme. </w:t>
      </w:r>
    </w:p>
    <w:p w:rsidR="00D03BCF" w:rsidRPr="00BA736C" w:rsidRDefault="00D03BCF" w:rsidP="00D03BCF">
      <w:pPr>
        <w:rPr>
          <w:rFonts w:ascii="Century Gothic" w:hAnsi="Century Gothic"/>
        </w:rPr>
      </w:pPr>
      <w:r w:rsidRPr="00BA736C">
        <w:rPr>
          <w:rFonts w:ascii="Century Gothic" w:hAnsi="Century Gothic"/>
        </w:rPr>
        <w:t xml:space="preserve">We need to revisit the concept of multi-agency safeguarding hubs as these are implemented differently in different areas, as with thresholds. </w:t>
      </w:r>
    </w:p>
    <w:p w:rsidR="002D4D63" w:rsidRPr="00BA736C" w:rsidRDefault="002F629B" w:rsidP="002D4D63">
      <w:pPr>
        <w:rPr>
          <w:rFonts w:ascii="Century Gothic" w:hAnsi="Century Gothic"/>
        </w:rPr>
      </w:pPr>
      <w:r w:rsidRPr="00BA736C">
        <w:rPr>
          <w:rFonts w:ascii="Century Gothic" w:hAnsi="Century Gothic"/>
          <w:b/>
        </w:rPr>
        <w:t>Richard Cooke, Commercial Director, Outcomes First Group and representative of the Children’s Services Development Group</w:t>
      </w:r>
      <w:r w:rsidR="002D4D63" w:rsidRPr="00BA736C">
        <w:rPr>
          <w:rFonts w:ascii="Century Gothic" w:hAnsi="Century Gothic"/>
          <w:b/>
        </w:rPr>
        <w:t xml:space="preserve">: </w:t>
      </w:r>
      <w:r w:rsidR="002D4D63" w:rsidRPr="00BA736C">
        <w:rPr>
          <w:rFonts w:ascii="Century Gothic" w:hAnsi="Century Gothic"/>
        </w:rPr>
        <w:t>CSDG</w:t>
      </w:r>
      <w:r w:rsidR="002D4D63" w:rsidRPr="00BA736C">
        <w:rPr>
          <w:rFonts w:ascii="Century Gothic" w:hAnsi="Century Gothic"/>
        </w:rPr>
        <w:t xml:space="preserve"> came together as a collaboration in 2006. </w:t>
      </w:r>
      <w:r w:rsidR="002D4D63" w:rsidRPr="00BA736C">
        <w:rPr>
          <w:rFonts w:ascii="Century Gothic" w:hAnsi="Century Gothic"/>
        </w:rPr>
        <w:t>W</w:t>
      </w:r>
      <w:r w:rsidR="002D4D63" w:rsidRPr="00BA736C">
        <w:rPr>
          <w:rFonts w:ascii="Century Gothic" w:hAnsi="Century Gothic"/>
        </w:rPr>
        <w:t>e have been working on outcomes framework and outcomes models for the young people in care. I can, from my own experience at</w:t>
      </w:r>
      <w:r w:rsidR="002D4D63" w:rsidRPr="00BA736C">
        <w:rPr>
          <w:rFonts w:ascii="Century Gothic" w:hAnsi="Century Gothic"/>
        </w:rPr>
        <w:t xml:space="preserve"> Ou</w:t>
      </w:r>
      <w:r w:rsidR="002D4D63" w:rsidRPr="00BA736C">
        <w:rPr>
          <w:rFonts w:ascii="Century Gothic" w:hAnsi="Century Gothic"/>
        </w:rPr>
        <w:t xml:space="preserve">tcomes </w:t>
      </w:r>
      <w:r w:rsidR="002D4D63" w:rsidRPr="00BA736C">
        <w:rPr>
          <w:rFonts w:ascii="Century Gothic" w:hAnsi="Century Gothic"/>
        </w:rPr>
        <w:t>First G</w:t>
      </w:r>
      <w:r w:rsidR="002D4D63" w:rsidRPr="00BA736C">
        <w:rPr>
          <w:rFonts w:ascii="Century Gothic" w:hAnsi="Century Gothic"/>
        </w:rPr>
        <w:t>roup</w:t>
      </w:r>
      <w:r w:rsidR="002D4D63" w:rsidRPr="00BA736C">
        <w:rPr>
          <w:rFonts w:ascii="Century Gothic" w:hAnsi="Century Gothic"/>
        </w:rPr>
        <w:t xml:space="preserve"> see</w:t>
      </w:r>
      <w:r w:rsidR="002D4D63" w:rsidRPr="00BA736C">
        <w:rPr>
          <w:rFonts w:ascii="Century Gothic" w:hAnsi="Century Gothic"/>
        </w:rPr>
        <w:t xml:space="preserve"> that the young people coming through the system are far more complex than they have been for a long time. That has continually been the case. And also the thresholds are not just necessarily for young people coming into care but also the thresholds at the top end of care who may be previously accessed forensic services. That threshold also seems to be fluctuating as well. A lot of our focus has been on placement stability. Again, some of the statistics on placement stability for these young people are 90% is less than 12 months. Anyone who has been through the fractious times that we are discussing to then have a stable place to live or be cared for is only going to further damage these young people. I think it was welcoming to see that. With residential care, fostering and education boroughs working with all the local authorities across the country at the moment, so we are drawing on various pieces of good practice in collaboration with providers and local authorities as to how we can support them during this period.</w:t>
      </w:r>
    </w:p>
    <w:p w:rsidR="002F629B" w:rsidRPr="00BA736C" w:rsidRDefault="002D4D63" w:rsidP="00AB4351">
      <w:pPr>
        <w:rPr>
          <w:rFonts w:ascii="Century Gothic" w:hAnsi="Century Gothic"/>
        </w:rPr>
      </w:pPr>
      <w:r w:rsidRPr="00BA736C">
        <w:rPr>
          <w:rFonts w:ascii="Century Gothic" w:hAnsi="Century Gothic"/>
        </w:rPr>
        <w:t>T</w:t>
      </w:r>
      <w:r w:rsidR="002F629B" w:rsidRPr="00BA736C">
        <w:rPr>
          <w:rFonts w:ascii="Century Gothic" w:hAnsi="Century Gothic"/>
        </w:rPr>
        <w:t>im Loughton MP thanked all of the speakers for their contributions. During the remainder of the session, Parliamentarians and voluntary sector attendees had the opportunity to ask the panellists questions.</w:t>
      </w:r>
    </w:p>
    <w:p w:rsidR="002F629B" w:rsidRPr="00BA736C" w:rsidRDefault="002F629B" w:rsidP="00AB4351">
      <w:pPr>
        <w:rPr>
          <w:rFonts w:ascii="Century Gothic" w:hAnsi="Century Gothic"/>
        </w:rPr>
      </w:pPr>
      <w:r w:rsidRPr="00BA736C">
        <w:rPr>
          <w:rFonts w:ascii="Century Gothic" w:hAnsi="Century Gothic"/>
        </w:rPr>
        <w:t xml:space="preserve">Points made during the </w:t>
      </w:r>
      <w:r w:rsidRPr="00BA736C">
        <w:rPr>
          <w:rFonts w:ascii="Century Gothic" w:hAnsi="Century Gothic"/>
          <w:b/>
        </w:rPr>
        <w:t xml:space="preserve">Q&amp;A session </w:t>
      </w:r>
      <w:r w:rsidRPr="00BA736C">
        <w:rPr>
          <w:rFonts w:ascii="Century Gothic" w:hAnsi="Century Gothic"/>
        </w:rPr>
        <w:t>included:</w:t>
      </w:r>
    </w:p>
    <w:p w:rsidR="002F629B" w:rsidRPr="00ED314D" w:rsidRDefault="002F629B" w:rsidP="00ED314D">
      <w:pPr>
        <w:rPr>
          <w:rFonts w:ascii="Century Gothic" w:hAnsi="Century Gothic"/>
        </w:rPr>
      </w:pPr>
      <w:r w:rsidRPr="00ED314D">
        <w:rPr>
          <w:rFonts w:ascii="Century Gothic" w:hAnsi="Century Gothic"/>
          <w:b/>
        </w:rPr>
        <w:t>Tim Loughton MP</w:t>
      </w:r>
      <w:r w:rsidRPr="00ED314D">
        <w:rPr>
          <w:rFonts w:ascii="Century Gothic" w:hAnsi="Century Gothic"/>
        </w:rPr>
        <w:t xml:space="preserve"> asked whether the Pupil Premium Plus is going to the children in should be. Jane </w:t>
      </w:r>
      <w:proofErr w:type="spellStart"/>
      <w:r w:rsidRPr="00ED314D">
        <w:rPr>
          <w:rFonts w:ascii="Century Gothic" w:hAnsi="Century Gothic"/>
        </w:rPr>
        <w:t>Pickethall</w:t>
      </w:r>
      <w:proofErr w:type="spellEnd"/>
      <w:r w:rsidRPr="00ED314D">
        <w:rPr>
          <w:rFonts w:ascii="Century Gothic" w:hAnsi="Century Gothic"/>
        </w:rPr>
        <w:t xml:space="preserve"> advised that NAVSH has carried out analysis of where the premium goes and found that it is being spent on what it should </w:t>
      </w:r>
      <w:proofErr w:type="spellStart"/>
      <w:r w:rsidRPr="00ED314D">
        <w:rPr>
          <w:rFonts w:ascii="Century Gothic" w:hAnsi="Century Gothic"/>
        </w:rPr>
        <w:t>ie</w:t>
      </w:r>
      <w:proofErr w:type="spellEnd"/>
      <w:r w:rsidRPr="00ED314D">
        <w:rPr>
          <w:rFonts w:ascii="Century Gothic" w:hAnsi="Century Gothic"/>
        </w:rPr>
        <w:t xml:space="preserve"> on looked after children. Children might receive different amounts due to different needs but Virtual School Heads are in a good position to  direct these funds to where they are most needed.</w:t>
      </w:r>
    </w:p>
    <w:p w:rsidR="002F629B" w:rsidRPr="00ED314D" w:rsidRDefault="002F629B" w:rsidP="00ED314D">
      <w:pPr>
        <w:rPr>
          <w:rFonts w:ascii="Century Gothic" w:hAnsi="Century Gothic"/>
        </w:rPr>
      </w:pPr>
      <w:r w:rsidRPr="00ED314D">
        <w:rPr>
          <w:rFonts w:ascii="Century Gothic" w:hAnsi="Century Gothic"/>
          <w:b/>
        </w:rPr>
        <w:t>Baroness Tyler</w:t>
      </w:r>
      <w:r w:rsidRPr="00ED314D">
        <w:rPr>
          <w:rFonts w:ascii="Century Gothic" w:hAnsi="Century Gothic"/>
        </w:rPr>
        <w:t xml:space="preserve"> asked about a specific example of a </w:t>
      </w:r>
      <w:r w:rsidR="009F3B1C" w:rsidRPr="00ED314D">
        <w:rPr>
          <w:rFonts w:ascii="Century Gothic" w:hAnsi="Century Gothic"/>
        </w:rPr>
        <w:t xml:space="preserve">local authority which has moved away from using thresholds. </w:t>
      </w:r>
      <w:r w:rsidR="009F3B1C" w:rsidRPr="00ED314D">
        <w:rPr>
          <w:rFonts w:ascii="Century Gothic" w:hAnsi="Century Gothic"/>
          <w:b/>
        </w:rPr>
        <w:t>David Ashcroft</w:t>
      </w:r>
      <w:r w:rsidR="009F3B1C" w:rsidRPr="00ED314D">
        <w:rPr>
          <w:rFonts w:ascii="Century Gothic" w:hAnsi="Century Gothic"/>
        </w:rPr>
        <w:t xml:space="preserve"> said that Leeds have stopped using the term “threshold” in their practice, and reiterated the example of Norfolk’s ‘Signs of Safety’ programme which uses a whole system approach.</w:t>
      </w:r>
    </w:p>
    <w:p w:rsidR="002D4D63" w:rsidRPr="00ED314D" w:rsidRDefault="009F3B1C" w:rsidP="00ED314D">
      <w:pPr>
        <w:rPr>
          <w:rFonts w:ascii="Century Gothic" w:hAnsi="Century Gothic"/>
        </w:rPr>
      </w:pPr>
      <w:r w:rsidRPr="00ED314D">
        <w:rPr>
          <w:rFonts w:ascii="Century Gothic" w:hAnsi="Century Gothic"/>
          <w:b/>
        </w:rPr>
        <w:t xml:space="preserve">Baroness </w:t>
      </w:r>
      <w:proofErr w:type="spellStart"/>
      <w:r w:rsidRPr="00ED314D">
        <w:rPr>
          <w:rFonts w:ascii="Century Gothic" w:hAnsi="Century Gothic"/>
          <w:b/>
        </w:rPr>
        <w:t>Walmsley</w:t>
      </w:r>
      <w:proofErr w:type="spellEnd"/>
      <w:r w:rsidRPr="00ED314D">
        <w:rPr>
          <w:rFonts w:ascii="Century Gothic" w:hAnsi="Century Gothic"/>
          <w:b/>
        </w:rPr>
        <w:t xml:space="preserve"> </w:t>
      </w:r>
      <w:r w:rsidRPr="00ED314D">
        <w:rPr>
          <w:rFonts w:ascii="Century Gothic" w:hAnsi="Century Gothic"/>
        </w:rPr>
        <w:t xml:space="preserve">asked whether LSCBs require additional powers. </w:t>
      </w:r>
      <w:r w:rsidRPr="00ED314D">
        <w:rPr>
          <w:rFonts w:ascii="Century Gothic" w:hAnsi="Century Gothic"/>
          <w:b/>
        </w:rPr>
        <w:t>David Ashcroft</w:t>
      </w:r>
      <w:r w:rsidRPr="00ED314D">
        <w:rPr>
          <w:rFonts w:ascii="Century Gothic" w:hAnsi="Century Gothic"/>
        </w:rPr>
        <w:t xml:space="preserve"> stated that he would have chosen to clarify their ability to hold all partners to account. </w:t>
      </w:r>
    </w:p>
    <w:p w:rsidR="00482B48" w:rsidRPr="00ED314D" w:rsidRDefault="009F3B1C" w:rsidP="00ED314D">
      <w:pPr>
        <w:rPr>
          <w:rFonts w:ascii="Century Gothic" w:hAnsi="Century Gothic"/>
        </w:rPr>
      </w:pPr>
      <w:r w:rsidRPr="00ED314D">
        <w:rPr>
          <w:rFonts w:ascii="Century Gothic" w:hAnsi="Century Gothic"/>
          <w:b/>
        </w:rPr>
        <w:t xml:space="preserve">The Earl of </w:t>
      </w:r>
      <w:proofErr w:type="spellStart"/>
      <w:r w:rsidRPr="00ED314D">
        <w:rPr>
          <w:rFonts w:ascii="Century Gothic" w:hAnsi="Century Gothic"/>
          <w:b/>
        </w:rPr>
        <w:t>Listowel</w:t>
      </w:r>
      <w:proofErr w:type="spellEnd"/>
      <w:r w:rsidRPr="00ED314D">
        <w:rPr>
          <w:rFonts w:ascii="Century Gothic" w:hAnsi="Century Gothic"/>
        </w:rPr>
        <w:t xml:space="preserve"> asked about the challenges for children’s homes and how they are rising to this challenge. </w:t>
      </w:r>
      <w:r w:rsidRPr="00ED314D">
        <w:rPr>
          <w:rFonts w:ascii="Century Gothic" w:hAnsi="Century Gothic"/>
          <w:b/>
        </w:rPr>
        <w:t>Richard Cooke</w:t>
      </w:r>
      <w:r w:rsidRPr="00ED314D">
        <w:rPr>
          <w:rFonts w:ascii="Century Gothic" w:hAnsi="Century Gothic"/>
        </w:rPr>
        <w:t xml:space="preserve"> observed that there is a marked difference in the changing levels of need, with cases </w:t>
      </w:r>
      <w:r w:rsidR="00482B48" w:rsidRPr="00ED314D">
        <w:rPr>
          <w:rFonts w:ascii="Century Gothic" w:hAnsi="Century Gothic"/>
        </w:rPr>
        <w:t xml:space="preserve">becoming increasingly complex. </w:t>
      </w:r>
    </w:p>
    <w:p w:rsidR="002D4D63" w:rsidRPr="00BA736C" w:rsidRDefault="00482B48" w:rsidP="00BA736C">
      <w:pPr>
        <w:rPr>
          <w:rFonts w:ascii="Century Gothic" w:hAnsi="Century Gothic"/>
        </w:rPr>
      </w:pPr>
      <w:r w:rsidRPr="00BA736C">
        <w:rPr>
          <w:rFonts w:ascii="Century Gothic" w:hAnsi="Century Gothic"/>
          <w:b/>
        </w:rPr>
        <w:t>Lucy Peake from Grandparents Plus</w:t>
      </w:r>
      <w:r w:rsidRPr="00BA736C">
        <w:rPr>
          <w:rFonts w:ascii="Century Gothic" w:hAnsi="Century Gothic"/>
        </w:rPr>
        <w:t xml:space="preserve"> asked where does community care fit? These children might have gone into care but took a different journey and community members are very scared to ask for help. There are different rates of kinship care in different ethnic groups. </w:t>
      </w:r>
    </w:p>
    <w:p w:rsidR="00BA736C" w:rsidRPr="00BA736C" w:rsidRDefault="00482B48" w:rsidP="00BA736C">
      <w:pPr>
        <w:rPr>
          <w:rFonts w:ascii="Century Gothic" w:hAnsi="Century Gothic"/>
        </w:rPr>
      </w:pPr>
      <w:r w:rsidRPr="00BA736C">
        <w:rPr>
          <w:rFonts w:ascii="Century Gothic" w:hAnsi="Century Gothic"/>
          <w:b/>
        </w:rPr>
        <w:t>Professor Kate Morris</w:t>
      </w:r>
      <w:r w:rsidRPr="00BA736C">
        <w:rPr>
          <w:rFonts w:ascii="Century Gothic" w:hAnsi="Century Gothic"/>
        </w:rPr>
        <w:t xml:space="preserve"> said that current conditions have created a perfect storm for kinship carers. They are likely to be experiencing deprivation and poverty and although the majority of families want to do right by the children they are caring for and make personal sacrifices to do this they are set up to fail and face a hugely challenging task.</w:t>
      </w:r>
      <w:r w:rsidR="00A83FD3" w:rsidRPr="00BA736C">
        <w:rPr>
          <w:rFonts w:ascii="Century Gothic" w:hAnsi="Century Gothic"/>
        </w:rPr>
        <w:t xml:space="preserve"> </w:t>
      </w:r>
      <w:r w:rsidRPr="00BA736C">
        <w:rPr>
          <w:rFonts w:ascii="Century Gothic" w:hAnsi="Century Gothic"/>
        </w:rPr>
        <w:t xml:space="preserve">Professor Paul Bywaters made the point that when children go onto special guardianship orders they disappear from the data meaning there is an absence of data in this area. </w:t>
      </w:r>
    </w:p>
    <w:p w:rsidR="00AA4834" w:rsidRPr="00BA736C" w:rsidRDefault="00A83FD3" w:rsidP="00BA736C">
      <w:pPr>
        <w:rPr>
          <w:rFonts w:ascii="Century Gothic" w:hAnsi="Century Gothic"/>
        </w:rPr>
      </w:pPr>
      <w:r w:rsidRPr="00BA736C">
        <w:rPr>
          <w:rFonts w:ascii="Century Gothic" w:hAnsi="Century Gothic"/>
          <w:b/>
        </w:rPr>
        <w:t>John Metcalfe from BASW</w:t>
      </w:r>
      <w:r w:rsidRPr="00BA736C">
        <w:rPr>
          <w:rFonts w:ascii="Century Gothic" w:hAnsi="Century Gothic"/>
        </w:rPr>
        <w:t xml:space="preserve"> made the point that </w:t>
      </w:r>
      <w:r w:rsidR="00AA4834" w:rsidRPr="00BA736C">
        <w:rPr>
          <w:rFonts w:ascii="Century Gothic" w:hAnsi="Century Gothic"/>
        </w:rPr>
        <w:t>social workers don’t want to have to focus on child pro</w:t>
      </w:r>
      <w:r w:rsidR="002D4D63" w:rsidRPr="00BA736C">
        <w:rPr>
          <w:rFonts w:ascii="Century Gothic" w:hAnsi="Century Gothic"/>
        </w:rPr>
        <w:t>t</w:t>
      </w:r>
      <w:r w:rsidR="00AA4834" w:rsidRPr="00BA736C">
        <w:rPr>
          <w:rFonts w:ascii="Century Gothic" w:hAnsi="Century Gothic"/>
        </w:rPr>
        <w:t xml:space="preserve">ection but are having to do this, disparate services within LA whereas used to be central, need for comprehensive service covering an area. </w:t>
      </w:r>
    </w:p>
    <w:p w:rsidR="00130A6B" w:rsidRPr="00BE6146" w:rsidRDefault="00130A6B" w:rsidP="004C1EFD">
      <w:pPr>
        <w:rPr>
          <w:rFonts w:ascii="Century Gothic" w:hAnsi="Century Gothic"/>
          <w:b/>
          <w:u w:val="single"/>
        </w:rPr>
      </w:pPr>
      <w:r w:rsidRPr="00BE6146">
        <w:rPr>
          <w:rFonts w:ascii="Century Gothic" w:hAnsi="Century Gothic"/>
          <w:b/>
          <w:u w:val="single"/>
        </w:rPr>
        <w:t>Wrap up</w:t>
      </w:r>
    </w:p>
    <w:p w:rsidR="0099572D" w:rsidRPr="00BA736C" w:rsidRDefault="002D4D63" w:rsidP="004C1EFD">
      <w:pPr>
        <w:rPr>
          <w:rFonts w:ascii="Century Gothic" w:hAnsi="Century Gothic"/>
        </w:rPr>
      </w:pPr>
      <w:r w:rsidRPr="00BA736C">
        <w:rPr>
          <w:rFonts w:ascii="Century Gothic" w:hAnsi="Century Gothic"/>
          <w:b/>
        </w:rPr>
        <w:t>Tim Loughton</w:t>
      </w:r>
      <w:r w:rsidRPr="00BA736C">
        <w:rPr>
          <w:rFonts w:ascii="Century Gothic" w:hAnsi="Century Gothic"/>
        </w:rPr>
        <w:t xml:space="preserve"> thanked all speakers for their contributions. The next session will be held in March. </w:t>
      </w:r>
    </w:p>
    <w:p w:rsidR="006246EC" w:rsidRPr="00BA736C" w:rsidRDefault="006246EC" w:rsidP="00256709">
      <w:pPr>
        <w:rPr>
          <w:rFonts w:ascii="Century Gothic" w:hAnsi="Century Gothic"/>
        </w:rPr>
      </w:pPr>
    </w:p>
    <w:p w:rsidR="00256709" w:rsidRPr="00BA736C" w:rsidRDefault="00256709" w:rsidP="00256709">
      <w:pPr>
        <w:rPr>
          <w:rFonts w:ascii="Century Gothic" w:hAnsi="Century Gothic"/>
        </w:rPr>
      </w:pPr>
      <w:r w:rsidRPr="00BA736C">
        <w:rPr>
          <w:rFonts w:ascii="Century Gothic" w:hAnsi="Century Gothic"/>
        </w:rPr>
        <w:t xml:space="preserve"> </w:t>
      </w:r>
    </w:p>
    <w:p w:rsidR="00256709" w:rsidRPr="00BA736C" w:rsidRDefault="00256709" w:rsidP="00256709">
      <w:pPr>
        <w:rPr>
          <w:rFonts w:ascii="Century Gothic" w:hAnsi="Century Gothic"/>
          <w:b/>
        </w:rPr>
      </w:pPr>
    </w:p>
    <w:sectPr w:rsidR="00256709" w:rsidRPr="00BA73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500C"/>
    <w:multiLevelType w:val="hybridMultilevel"/>
    <w:tmpl w:val="2F589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56178"/>
    <w:multiLevelType w:val="hybridMultilevel"/>
    <w:tmpl w:val="F3407936"/>
    <w:lvl w:ilvl="0" w:tplc="7B9A27BE">
      <w:start w:val="1"/>
      <w:numFmt w:val="bullet"/>
      <w:lvlText w:val="•"/>
      <w:lvlJc w:val="left"/>
      <w:pPr>
        <w:tabs>
          <w:tab w:val="num" w:pos="720"/>
        </w:tabs>
        <w:ind w:left="720" w:hanging="360"/>
      </w:pPr>
      <w:rPr>
        <w:rFonts w:ascii="Arial" w:hAnsi="Arial" w:hint="default"/>
      </w:rPr>
    </w:lvl>
    <w:lvl w:ilvl="1" w:tplc="076C38D2" w:tentative="1">
      <w:start w:val="1"/>
      <w:numFmt w:val="bullet"/>
      <w:lvlText w:val="•"/>
      <w:lvlJc w:val="left"/>
      <w:pPr>
        <w:tabs>
          <w:tab w:val="num" w:pos="1440"/>
        </w:tabs>
        <w:ind w:left="1440" w:hanging="360"/>
      </w:pPr>
      <w:rPr>
        <w:rFonts w:ascii="Arial" w:hAnsi="Arial" w:hint="default"/>
      </w:rPr>
    </w:lvl>
    <w:lvl w:ilvl="2" w:tplc="25F45D94" w:tentative="1">
      <w:start w:val="1"/>
      <w:numFmt w:val="bullet"/>
      <w:lvlText w:val="•"/>
      <w:lvlJc w:val="left"/>
      <w:pPr>
        <w:tabs>
          <w:tab w:val="num" w:pos="2160"/>
        </w:tabs>
        <w:ind w:left="2160" w:hanging="360"/>
      </w:pPr>
      <w:rPr>
        <w:rFonts w:ascii="Arial" w:hAnsi="Arial" w:hint="default"/>
      </w:rPr>
    </w:lvl>
    <w:lvl w:ilvl="3" w:tplc="8C0ABFE2" w:tentative="1">
      <w:start w:val="1"/>
      <w:numFmt w:val="bullet"/>
      <w:lvlText w:val="•"/>
      <w:lvlJc w:val="left"/>
      <w:pPr>
        <w:tabs>
          <w:tab w:val="num" w:pos="2880"/>
        </w:tabs>
        <w:ind w:left="2880" w:hanging="360"/>
      </w:pPr>
      <w:rPr>
        <w:rFonts w:ascii="Arial" w:hAnsi="Arial" w:hint="default"/>
      </w:rPr>
    </w:lvl>
    <w:lvl w:ilvl="4" w:tplc="B0B8F1AE" w:tentative="1">
      <w:start w:val="1"/>
      <w:numFmt w:val="bullet"/>
      <w:lvlText w:val="•"/>
      <w:lvlJc w:val="left"/>
      <w:pPr>
        <w:tabs>
          <w:tab w:val="num" w:pos="3600"/>
        </w:tabs>
        <w:ind w:left="3600" w:hanging="360"/>
      </w:pPr>
      <w:rPr>
        <w:rFonts w:ascii="Arial" w:hAnsi="Arial" w:hint="default"/>
      </w:rPr>
    </w:lvl>
    <w:lvl w:ilvl="5" w:tplc="4DEA5C72" w:tentative="1">
      <w:start w:val="1"/>
      <w:numFmt w:val="bullet"/>
      <w:lvlText w:val="•"/>
      <w:lvlJc w:val="left"/>
      <w:pPr>
        <w:tabs>
          <w:tab w:val="num" w:pos="4320"/>
        </w:tabs>
        <w:ind w:left="4320" w:hanging="360"/>
      </w:pPr>
      <w:rPr>
        <w:rFonts w:ascii="Arial" w:hAnsi="Arial" w:hint="default"/>
      </w:rPr>
    </w:lvl>
    <w:lvl w:ilvl="6" w:tplc="DB106E48" w:tentative="1">
      <w:start w:val="1"/>
      <w:numFmt w:val="bullet"/>
      <w:lvlText w:val="•"/>
      <w:lvlJc w:val="left"/>
      <w:pPr>
        <w:tabs>
          <w:tab w:val="num" w:pos="5040"/>
        </w:tabs>
        <w:ind w:left="5040" w:hanging="360"/>
      </w:pPr>
      <w:rPr>
        <w:rFonts w:ascii="Arial" w:hAnsi="Arial" w:hint="default"/>
      </w:rPr>
    </w:lvl>
    <w:lvl w:ilvl="7" w:tplc="2B782992" w:tentative="1">
      <w:start w:val="1"/>
      <w:numFmt w:val="bullet"/>
      <w:lvlText w:val="•"/>
      <w:lvlJc w:val="left"/>
      <w:pPr>
        <w:tabs>
          <w:tab w:val="num" w:pos="5760"/>
        </w:tabs>
        <w:ind w:left="5760" w:hanging="360"/>
      </w:pPr>
      <w:rPr>
        <w:rFonts w:ascii="Arial" w:hAnsi="Arial" w:hint="default"/>
      </w:rPr>
    </w:lvl>
    <w:lvl w:ilvl="8" w:tplc="17B832E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84725F"/>
    <w:multiLevelType w:val="hybridMultilevel"/>
    <w:tmpl w:val="F5B0F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3D42C3"/>
    <w:multiLevelType w:val="hybridMultilevel"/>
    <w:tmpl w:val="CEDEC0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14B4D"/>
    <w:multiLevelType w:val="hybridMultilevel"/>
    <w:tmpl w:val="F9CA5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3C61C7"/>
    <w:multiLevelType w:val="hybridMultilevel"/>
    <w:tmpl w:val="A5C88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59360A"/>
    <w:multiLevelType w:val="hybridMultilevel"/>
    <w:tmpl w:val="B48E2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77776C"/>
    <w:multiLevelType w:val="hybridMultilevel"/>
    <w:tmpl w:val="86E0D5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BB2E8D"/>
    <w:multiLevelType w:val="hybridMultilevel"/>
    <w:tmpl w:val="F4F64CBC"/>
    <w:lvl w:ilvl="0" w:tplc="BF28E7CA">
      <w:start w:val="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B95291"/>
    <w:multiLevelType w:val="hybridMultilevel"/>
    <w:tmpl w:val="E3A60DD0"/>
    <w:lvl w:ilvl="0" w:tplc="54547D0E">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9B05DD"/>
    <w:multiLevelType w:val="hybridMultilevel"/>
    <w:tmpl w:val="2410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D952AC"/>
    <w:multiLevelType w:val="hybridMultilevel"/>
    <w:tmpl w:val="EDF6B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BA4D41"/>
    <w:multiLevelType w:val="hybridMultilevel"/>
    <w:tmpl w:val="18305DAA"/>
    <w:lvl w:ilvl="0" w:tplc="54547D0E">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6"/>
  </w:num>
  <w:num w:numId="4">
    <w:abstractNumId w:val="3"/>
  </w:num>
  <w:num w:numId="5">
    <w:abstractNumId w:val="12"/>
  </w:num>
  <w:num w:numId="6">
    <w:abstractNumId w:val="11"/>
  </w:num>
  <w:num w:numId="7">
    <w:abstractNumId w:val="5"/>
  </w:num>
  <w:num w:numId="8">
    <w:abstractNumId w:val="4"/>
  </w:num>
  <w:num w:numId="9">
    <w:abstractNumId w:val="10"/>
  </w:num>
  <w:num w:numId="10">
    <w:abstractNumId w:val="7"/>
  </w:num>
  <w:num w:numId="11">
    <w:abstractNumId w:val="0"/>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A41"/>
    <w:rsid w:val="000D0177"/>
    <w:rsid w:val="00130A6B"/>
    <w:rsid w:val="00145E73"/>
    <w:rsid w:val="0015573A"/>
    <w:rsid w:val="001A260E"/>
    <w:rsid w:val="00235A41"/>
    <w:rsid w:val="00256709"/>
    <w:rsid w:val="002C1DAB"/>
    <w:rsid w:val="002D4D63"/>
    <w:rsid w:val="002E66DD"/>
    <w:rsid w:val="002F629B"/>
    <w:rsid w:val="00342D5E"/>
    <w:rsid w:val="003C7188"/>
    <w:rsid w:val="00415836"/>
    <w:rsid w:val="004461A7"/>
    <w:rsid w:val="00482B48"/>
    <w:rsid w:val="004C1EFD"/>
    <w:rsid w:val="004F4C57"/>
    <w:rsid w:val="00543E2C"/>
    <w:rsid w:val="00564088"/>
    <w:rsid w:val="005E4545"/>
    <w:rsid w:val="005F0486"/>
    <w:rsid w:val="005F1BAF"/>
    <w:rsid w:val="00622A2B"/>
    <w:rsid w:val="006246EC"/>
    <w:rsid w:val="0068587E"/>
    <w:rsid w:val="00736D98"/>
    <w:rsid w:val="00791695"/>
    <w:rsid w:val="00801545"/>
    <w:rsid w:val="008E3587"/>
    <w:rsid w:val="00925F5F"/>
    <w:rsid w:val="0092637A"/>
    <w:rsid w:val="00982B12"/>
    <w:rsid w:val="00984E15"/>
    <w:rsid w:val="0099572D"/>
    <w:rsid w:val="009F3B1C"/>
    <w:rsid w:val="00A83FD3"/>
    <w:rsid w:val="00AA4834"/>
    <w:rsid w:val="00AB4351"/>
    <w:rsid w:val="00BA736C"/>
    <w:rsid w:val="00BC0107"/>
    <w:rsid w:val="00BE6146"/>
    <w:rsid w:val="00C93B49"/>
    <w:rsid w:val="00CA760D"/>
    <w:rsid w:val="00CA7BCC"/>
    <w:rsid w:val="00CD6CAB"/>
    <w:rsid w:val="00D03BCF"/>
    <w:rsid w:val="00D82E7B"/>
    <w:rsid w:val="00DF118B"/>
    <w:rsid w:val="00E51608"/>
    <w:rsid w:val="00E70E54"/>
    <w:rsid w:val="00ED3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9D102"/>
  <w15:docId w15:val="{20E52F5D-70AD-4CC0-8DB4-D66434D1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709"/>
    <w:pPr>
      <w:ind w:left="720"/>
      <w:contextualSpacing/>
    </w:pPr>
  </w:style>
  <w:style w:type="character" w:styleId="Hyperlink">
    <w:name w:val="Hyperlink"/>
    <w:basedOn w:val="DefaultParagraphFont"/>
    <w:uiPriority w:val="99"/>
    <w:unhideWhenUsed/>
    <w:rsid w:val="00D03BCF"/>
    <w:rPr>
      <w:color w:val="0563C1" w:themeColor="hyperlink"/>
      <w:u w:val="single"/>
    </w:rPr>
  </w:style>
  <w:style w:type="character" w:styleId="CommentReference">
    <w:name w:val="annotation reference"/>
    <w:basedOn w:val="DefaultParagraphFont"/>
    <w:uiPriority w:val="99"/>
    <w:semiHidden/>
    <w:unhideWhenUsed/>
    <w:rsid w:val="00D82E7B"/>
    <w:rPr>
      <w:sz w:val="16"/>
      <w:szCs w:val="16"/>
    </w:rPr>
  </w:style>
  <w:style w:type="paragraph" w:styleId="CommentText">
    <w:name w:val="annotation text"/>
    <w:basedOn w:val="Normal"/>
    <w:link w:val="CommentTextChar"/>
    <w:uiPriority w:val="99"/>
    <w:semiHidden/>
    <w:unhideWhenUsed/>
    <w:rsid w:val="00D82E7B"/>
    <w:pPr>
      <w:spacing w:line="240" w:lineRule="auto"/>
    </w:pPr>
    <w:rPr>
      <w:sz w:val="20"/>
      <w:szCs w:val="20"/>
    </w:rPr>
  </w:style>
  <w:style w:type="character" w:customStyle="1" w:styleId="CommentTextChar">
    <w:name w:val="Comment Text Char"/>
    <w:basedOn w:val="DefaultParagraphFont"/>
    <w:link w:val="CommentText"/>
    <w:uiPriority w:val="99"/>
    <w:semiHidden/>
    <w:rsid w:val="00D82E7B"/>
    <w:rPr>
      <w:sz w:val="20"/>
      <w:szCs w:val="20"/>
    </w:rPr>
  </w:style>
  <w:style w:type="paragraph" w:customStyle="1" w:styleId="Default">
    <w:name w:val="Default"/>
    <w:rsid w:val="00D82E7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82E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E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rfolklscb.org/people-working-with-children/signs-safet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603</TotalTime>
  <Pages>6</Pages>
  <Words>2257</Words>
  <Characters>12868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Kady Billington-Murphy</dc:creator>
  <cp:lastModifiedBy>Kady Billington Murphy</cp:lastModifiedBy>
  <cp:revision>19</cp:revision>
  <dcterms:created xsi:type="dcterms:W3CDTF">2018-02-09T14:00:00Z</dcterms:created>
  <dcterms:modified xsi:type="dcterms:W3CDTF">2018-07-09T15:26:00Z</dcterms:modified>
</cp:coreProperties>
</file>